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FB82" w14:textId="77777777" w:rsidR="00A76C9B" w:rsidRDefault="00876391" w:rsidP="00A76C9B">
      <w:pPr>
        <w:rPr>
          <w:rFonts w:ascii="Arial" w:hAnsi="Arial" w:cs="Arial"/>
          <w:sz w:val="22"/>
          <w:szCs w:val="22"/>
        </w:rPr>
      </w:pPr>
      <w:bookmarkStart w:id="0" w:name="_GoBack"/>
      <w:bookmarkEnd w:id="0"/>
      <w:r>
        <w:rPr>
          <w:rFonts w:ascii="Arial" w:hAnsi="Arial" w:cs="Arial"/>
          <w:noProof/>
          <w:sz w:val="22"/>
          <w:szCs w:val="22"/>
          <w:lang w:val="en-CA" w:eastAsia="en-CA"/>
        </w:rPr>
        <w:drawing>
          <wp:inline distT="0" distB="0" distL="0" distR="0" wp14:anchorId="55BC6616" wp14:editId="37A52DB0">
            <wp:extent cx="453543" cy="691204"/>
            <wp:effectExtent l="0" t="0" r="3810" b="0"/>
            <wp:docPr id="5" name="Picture 5" descr="\\netdrive.uvic.ca\humr\All Staff Share\Total Comp &amp; Recruitment\HR Logos\UVic_vert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drive.uvic.ca\humr\All Staff Share\Total Comp &amp; Recruitment\HR Logos\UVic_vert_4c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711" cy="691460"/>
                    </a:xfrm>
                    <a:prstGeom prst="rect">
                      <a:avLst/>
                    </a:prstGeom>
                    <a:noFill/>
                    <a:ln>
                      <a:noFill/>
                    </a:ln>
                  </pic:spPr>
                </pic:pic>
              </a:graphicData>
            </a:graphic>
          </wp:inline>
        </w:drawing>
      </w:r>
    </w:p>
    <w:p w14:paraId="09F75E9B" w14:textId="77777777" w:rsidR="00A76C9B" w:rsidRPr="007F6B4A" w:rsidRDefault="00506834" w:rsidP="00A76C9B">
      <w:pPr>
        <w:jc w:val="center"/>
        <w:outlineLvl w:val="0"/>
        <w:rPr>
          <w:rFonts w:ascii="Arial" w:hAnsi="Arial" w:cs="Arial"/>
          <w:b/>
          <w:sz w:val="28"/>
          <w:szCs w:val="28"/>
        </w:rPr>
      </w:pPr>
      <w:r>
        <w:rPr>
          <w:rFonts w:ascii="Arial" w:hAnsi="Arial" w:cs="Arial"/>
          <w:b/>
          <w:sz w:val="28"/>
          <w:szCs w:val="28"/>
        </w:rPr>
        <w:t xml:space="preserve">PEA </w:t>
      </w:r>
      <w:r w:rsidR="00A76C9B" w:rsidRPr="007F6B4A">
        <w:rPr>
          <w:rFonts w:ascii="Arial" w:hAnsi="Arial" w:cs="Arial"/>
          <w:b/>
          <w:sz w:val="28"/>
          <w:szCs w:val="28"/>
        </w:rPr>
        <w:t xml:space="preserve">Job Description </w:t>
      </w:r>
    </w:p>
    <w:p w14:paraId="71F51282" w14:textId="77777777" w:rsidR="00A76C9B" w:rsidRDefault="00A76C9B" w:rsidP="00A76C9B">
      <w:pPr>
        <w:rPr>
          <w:rFonts w:ascii="Arial" w:hAnsi="Arial" w:cs="Arial"/>
          <w:sz w:val="22"/>
          <w:szCs w:val="22"/>
        </w:rPr>
      </w:pPr>
    </w:p>
    <w:tbl>
      <w:tblPr>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0A0" w:firstRow="1" w:lastRow="0" w:firstColumn="1" w:lastColumn="0" w:noHBand="0" w:noVBand="0"/>
      </w:tblPr>
      <w:tblGrid>
        <w:gridCol w:w="3423"/>
        <w:gridCol w:w="5171"/>
      </w:tblGrid>
      <w:tr w:rsidR="00A76C9B" w:rsidRPr="009E3DFB" w14:paraId="1C2672A0" w14:textId="77777777" w:rsidTr="0028573F">
        <w:tc>
          <w:tcPr>
            <w:tcW w:w="8856" w:type="dxa"/>
            <w:gridSpan w:val="2"/>
            <w:tcBorders>
              <w:top w:val="single" w:sz="18" w:space="0" w:color="E36C0A" w:themeColor="accent6" w:themeShade="BF"/>
              <w:left w:val="single" w:sz="18" w:space="0" w:color="E36C0A" w:themeColor="accent6" w:themeShade="BF"/>
              <w:bottom w:val="single" w:sz="4" w:space="0" w:color="auto"/>
            </w:tcBorders>
            <w:shd w:val="clear" w:color="auto" w:fill="E6E6E6"/>
          </w:tcPr>
          <w:p w14:paraId="61D3F9E3" w14:textId="77777777" w:rsidR="00A76C9B" w:rsidRPr="009E3DFB" w:rsidRDefault="00A76C9B" w:rsidP="009E3DFB">
            <w:pPr>
              <w:tabs>
                <w:tab w:val="left" w:pos="360"/>
              </w:tabs>
              <w:ind w:left="360" w:hanging="360"/>
              <w:rPr>
                <w:rFonts w:ascii="Arial" w:hAnsi="Arial" w:cs="Arial"/>
                <w:sz w:val="22"/>
                <w:szCs w:val="22"/>
              </w:rPr>
            </w:pPr>
            <w:r w:rsidRPr="009E3DFB">
              <w:rPr>
                <w:rFonts w:ascii="Arial" w:hAnsi="Arial" w:cs="Arial"/>
                <w:b/>
                <w:sz w:val="22"/>
                <w:szCs w:val="22"/>
              </w:rPr>
              <w:t>1.</w:t>
            </w:r>
            <w:r w:rsidRPr="009E3DFB">
              <w:rPr>
                <w:rFonts w:ascii="Arial" w:hAnsi="Arial" w:cs="Arial"/>
                <w:sz w:val="22"/>
                <w:szCs w:val="22"/>
              </w:rPr>
              <w:tab/>
            </w:r>
            <w:r w:rsidRPr="009E3DFB">
              <w:rPr>
                <w:rFonts w:ascii="Arial" w:hAnsi="Arial" w:cs="Arial"/>
                <w:b/>
                <w:sz w:val="22"/>
                <w:szCs w:val="22"/>
              </w:rPr>
              <w:t>Position Identification</w:t>
            </w:r>
          </w:p>
        </w:tc>
      </w:tr>
      <w:tr w:rsidR="00A76C9B" w:rsidRPr="009E3DFB" w14:paraId="07E6C0E2"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0A0832F4" w14:textId="77777777" w:rsidR="00A76C9B" w:rsidRPr="00197325" w:rsidRDefault="00A76C9B" w:rsidP="00A76C9B">
            <w:pPr>
              <w:rPr>
                <w:rFonts w:ascii="Arial" w:hAnsi="Arial" w:cs="Arial"/>
                <w:sz w:val="22"/>
                <w:szCs w:val="22"/>
              </w:rPr>
            </w:pPr>
            <w:r w:rsidRPr="00197325">
              <w:rPr>
                <w:rFonts w:ascii="Arial" w:hAnsi="Arial" w:cs="Arial"/>
                <w:sz w:val="22"/>
                <w:szCs w:val="22"/>
              </w:rPr>
              <w:t>Position Number</w:t>
            </w:r>
          </w:p>
        </w:tc>
        <w:tc>
          <w:tcPr>
            <w:tcW w:w="5328" w:type="dxa"/>
            <w:tcBorders>
              <w:top w:val="single" w:sz="4" w:space="0" w:color="auto"/>
              <w:left w:val="single" w:sz="4" w:space="0" w:color="auto"/>
              <w:bottom w:val="single" w:sz="4" w:space="0" w:color="auto"/>
            </w:tcBorders>
            <w:shd w:val="clear" w:color="auto" w:fill="auto"/>
          </w:tcPr>
          <w:p w14:paraId="77977169" w14:textId="77777777" w:rsidR="00A76C9B" w:rsidRPr="00197325" w:rsidRDefault="00720F94" w:rsidP="00A76C9B">
            <w:pPr>
              <w:rPr>
                <w:rFonts w:ascii="Arial" w:hAnsi="Arial" w:cs="Arial"/>
                <w:sz w:val="22"/>
                <w:szCs w:val="22"/>
              </w:rPr>
            </w:pPr>
            <w:r>
              <w:rPr>
                <w:rFonts w:ascii="Arial" w:hAnsi="Arial" w:cs="Arial"/>
                <w:sz w:val="22"/>
                <w:szCs w:val="22"/>
              </w:rPr>
              <w:t>993604</w:t>
            </w:r>
          </w:p>
        </w:tc>
      </w:tr>
      <w:tr w:rsidR="00A76C9B" w:rsidRPr="009E3DFB" w14:paraId="53351F35"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3A825BC5" w14:textId="77777777" w:rsidR="00A76C9B" w:rsidRPr="009E3DFB" w:rsidRDefault="00A76C9B" w:rsidP="00A76C9B">
            <w:pPr>
              <w:rPr>
                <w:rFonts w:ascii="Arial" w:hAnsi="Arial" w:cs="Arial"/>
                <w:sz w:val="22"/>
                <w:szCs w:val="22"/>
              </w:rPr>
            </w:pPr>
            <w:r w:rsidRPr="009E3DFB">
              <w:rPr>
                <w:rFonts w:ascii="Arial" w:hAnsi="Arial" w:cs="Arial"/>
                <w:sz w:val="22"/>
                <w:szCs w:val="22"/>
              </w:rPr>
              <w:t>Position Title:</w:t>
            </w:r>
          </w:p>
        </w:tc>
        <w:tc>
          <w:tcPr>
            <w:tcW w:w="5328" w:type="dxa"/>
            <w:tcBorders>
              <w:top w:val="single" w:sz="4" w:space="0" w:color="auto"/>
              <w:left w:val="single" w:sz="4" w:space="0" w:color="auto"/>
              <w:bottom w:val="single" w:sz="4" w:space="0" w:color="auto"/>
            </w:tcBorders>
            <w:shd w:val="clear" w:color="auto" w:fill="auto"/>
          </w:tcPr>
          <w:p w14:paraId="36075ADA" w14:textId="77777777" w:rsidR="00A76C9B" w:rsidRPr="00681F82" w:rsidRDefault="00720F94" w:rsidP="00A76C9B">
            <w:pPr>
              <w:rPr>
                <w:rFonts w:ascii="Arial" w:hAnsi="Arial" w:cs="Arial"/>
                <w:i/>
                <w:sz w:val="22"/>
                <w:szCs w:val="22"/>
              </w:rPr>
            </w:pPr>
            <w:r>
              <w:rPr>
                <w:rFonts w:ascii="Arial" w:hAnsi="Arial" w:cs="Arial"/>
                <w:sz w:val="22"/>
                <w:szCs w:val="22"/>
              </w:rPr>
              <w:t>Manager of Curriculum and Calendar</w:t>
            </w:r>
          </w:p>
        </w:tc>
      </w:tr>
      <w:tr w:rsidR="00A76C9B" w:rsidRPr="009E3DFB" w14:paraId="38D5B64C"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37FB0F11" w14:textId="77777777" w:rsidR="00A76C9B" w:rsidRPr="009E3DFB" w:rsidRDefault="00A76C9B" w:rsidP="00A76C9B">
            <w:pPr>
              <w:rPr>
                <w:rFonts w:ascii="Arial" w:hAnsi="Arial" w:cs="Arial"/>
                <w:sz w:val="22"/>
                <w:szCs w:val="22"/>
              </w:rPr>
            </w:pPr>
            <w:r w:rsidRPr="009E3DFB">
              <w:rPr>
                <w:rFonts w:ascii="Arial" w:hAnsi="Arial" w:cs="Arial"/>
                <w:sz w:val="22"/>
                <w:szCs w:val="22"/>
              </w:rPr>
              <w:t>Department:</w:t>
            </w:r>
          </w:p>
        </w:tc>
        <w:tc>
          <w:tcPr>
            <w:tcW w:w="5328" w:type="dxa"/>
            <w:tcBorders>
              <w:top w:val="single" w:sz="4" w:space="0" w:color="auto"/>
              <w:left w:val="single" w:sz="4" w:space="0" w:color="auto"/>
              <w:bottom w:val="single" w:sz="4" w:space="0" w:color="auto"/>
            </w:tcBorders>
            <w:shd w:val="clear" w:color="auto" w:fill="auto"/>
          </w:tcPr>
          <w:p w14:paraId="357DDEB6" w14:textId="77777777" w:rsidR="00A76C9B" w:rsidRPr="00681F82" w:rsidRDefault="00720F94" w:rsidP="00A76C9B">
            <w:pPr>
              <w:rPr>
                <w:rFonts w:ascii="Arial" w:hAnsi="Arial" w:cs="Arial"/>
                <w:i/>
                <w:sz w:val="22"/>
                <w:szCs w:val="22"/>
              </w:rPr>
            </w:pPr>
            <w:r>
              <w:rPr>
                <w:rFonts w:ascii="Arial" w:hAnsi="Arial" w:cs="Arial"/>
                <w:sz w:val="22"/>
                <w:szCs w:val="22"/>
              </w:rPr>
              <w:t>Office of the Registrar</w:t>
            </w:r>
          </w:p>
        </w:tc>
      </w:tr>
      <w:tr w:rsidR="00A76C9B" w:rsidRPr="009E3DFB" w14:paraId="68A30701"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79BF54B4" w14:textId="77777777" w:rsidR="00A76C9B" w:rsidRPr="009E3DFB" w:rsidRDefault="00A76C9B" w:rsidP="00A76C9B">
            <w:pPr>
              <w:rPr>
                <w:rFonts w:ascii="Arial" w:hAnsi="Arial" w:cs="Arial"/>
                <w:sz w:val="22"/>
                <w:szCs w:val="22"/>
              </w:rPr>
            </w:pPr>
            <w:r w:rsidRPr="009E3DFB">
              <w:rPr>
                <w:rFonts w:ascii="Arial" w:hAnsi="Arial" w:cs="Arial"/>
                <w:sz w:val="22"/>
                <w:szCs w:val="22"/>
              </w:rPr>
              <w:t>Reports to:</w:t>
            </w:r>
          </w:p>
        </w:tc>
        <w:tc>
          <w:tcPr>
            <w:tcW w:w="5328" w:type="dxa"/>
            <w:tcBorders>
              <w:top w:val="single" w:sz="4" w:space="0" w:color="auto"/>
              <w:left w:val="single" w:sz="4" w:space="0" w:color="auto"/>
              <w:bottom w:val="single" w:sz="4" w:space="0" w:color="auto"/>
            </w:tcBorders>
            <w:shd w:val="clear" w:color="auto" w:fill="auto"/>
          </w:tcPr>
          <w:p w14:paraId="3C216817" w14:textId="77777777" w:rsidR="00A76C9B" w:rsidRPr="00681F82" w:rsidRDefault="00720F94" w:rsidP="00A76C9B">
            <w:pPr>
              <w:rPr>
                <w:rFonts w:ascii="Arial" w:hAnsi="Arial" w:cs="Arial"/>
                <w:i/>
                <w:sz w:val="22"/>
                <w:szCs w:val="22"/>
              </w:rPr>
            </w:pPr>
            <w:r>
              <w:rPr>
                <w:rFonts w:ascii="Arial" w:hAnsi="Arial" w:cs="Arial"/>
                <w:sz w:val="22"/>
                <w:szCs w:val="22"/>
              </w:rPr>
              <w:t>Associate Registrar</w:t>
            </w:r>
          </w:p>
        </w:tc>
      </w:tr>
      <w:tr w:rsidR="00A76C9B" w:rsidRPr="009E3DFB" w14:paraId="01E28CE5"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5150AA99" w14:textId="77777777" w:rsidR="00A76C9B" w:rsidRPr="009E3DFB" w:rsidRDefault="00A76C9B" w:rsidP="00A76C9B">
            <w:pPr>
              <w:rPr>
                <w:rFonts w:ascii="Arial" w:hAnsi="Arial" w:cs="Arial"/>
                <w:sz w:val="22"/>
                <w:szCs w:val="22"/>
              </w:rPr>
            </w:pPr>
            <w:r w:rsidRPr="009E3DFB">
              <w:rPr>
                <w:rFonts w:ascii="Arial" w:hAnsi="Arial" w:cs="Arial"/>
                <w:sz w:val="22"/>
                <w:szCs w:val="22"/>
              </w:rPr>
              <w:t>Number of Direct/Indirect Reports</w:t>
            </w:r>
          </w:p>
        </w:tc>
        <w:tc>
          <w:tcPr>
            <w:tcW w:w="5328" w:type="dxa"/>
            <w:tcBorders>
              <w:top w:val="single" w:sz="4" w:space="0" w:color="auto"/>
              <w:left w:val="single" w:sz="4" w:space="0" w:color="auto"/>
              <w:bottom w:val="single" w:sz="4" w:space="0" w:color="auto"/>
            </w:tcBorders>
            <w:shd w:val="clear" w:color="auto" w:fill="auto"/>
          </w:tcPr>
          <w:p w14:paraId="1EAD8561" w14:textId="77777777" w:rsidR="00A76C9B" w:rsidRPr="009E3DFB" w:rsidRDefault="00681F82" w:rsidP="00A76C9B">
            <w:pPr>
              <w:rPr>
                <w:rFonts w:ascii="Arial" w:hAnsi="Arial" w:cs="Arial"/>
                <w:sz w:val="22"/>
                <w:szCs w:val="22"/>
              </w:rPr>
            </w:pPr>
            <w:r>
              <w:rPr>
                <w:rFonts w:ascii="Arial" w:hAnsi="Arial" w:cs="Arial"/>
                <w:sz w:val="22"/>
                <w:szCs w:val="22"/>
              </w:rPr>
              <w:t>Direct__</w:t>
            </w:r>
            <w:r w:rsidR="00720F94">
              <w:rPr>
                <w:rFonts w:ascii="Arial" w:hAnsi="Arial" w:cs="Arial"/>
                <w:sz w:val="22"/>
                <w:szCs w:val="22"/>
              </w:rPr>
              <w:t>2</w:t>
            </w:r>
            <w:r>
              <w:rPr>
                <w:rFonts w:ascii="Arial" w:hAnsi="Arial" w:cs="Arial"/>
                <w:sz w:val="22"/>
                <w:szCs w:val="22"/>
              </w:rPr>
              <w:t>___</w:t>
            </w:r>
            <w:r>
              <w:rPr>
                <w:rFonts w:ascii="Arial" w:hAnsi="Arial" w:cs="Arial"/>
                <w:sz w:val="22"/>
                <w:szCs w:val="22"/>
              </w:rPr>
              <w:tab/>
            </w:r>
            <w:r>
              <w:rPr>
                <w:rFonts w:ascii="Arial" w:hAnsi="Arial" w:cs="Arial"/>
                <w:sz w:val="22"/>
                <w:szCs w:val="22"/>
              </w:rPr>
              <w:tab/>
              <w:t>Indirect</w:t>
            </w:r>
            <w:r w:rsidR="00A76C9B" w:rsidRPr="009E3DFB">
              <w:rPr>
                <w:rFonts w:ascii="Arial" w:hAnsi="Arial" w:cs="Arial"/>
                <w:sz w:val="22"/>
                <w:szCs w:val="22"/>
              </w:rPr>
              <w:t>_______</w:t>
            </w:r>
          </w:p>
        </w:tc>
      </w:tr>
      <w:tr w:rsidR="00A76C9B" w:rsidRPr="009E3DFB" w14:paraId="1BDE9D06" w14:textId="77777777" w:rsidTr="0028573F">
        <w:tc>
          <w:tcPr>
            <w:tcW w:w="3528" w:type="dxa"/>
            <w:tcBorders>
              <w:top w:val="single" w:sz="4" w:space="0" w:color="auto"/>
              <w:left w:val="single" w:sz="18" w:space="0" w:color="E36C0A" w:themeColor="accent6" w:themeShade="BF"/>
              <w:bottom w:val="single" w:sz="4" w:space="0" w:color="auto"/>
              <w:right w:val="single" w:sz="4" w:space="0" w:color="auto"/>
            </w:tcBorders>
            <w:shd w:val="clear" w:color="auto" w:fill="auto"/>
          </w:tcPr>
          <w:p w14:paraId="6B43D893" w14:textId="77777777" w:rsidR="00A76C9B" w:rsidRPr="009E3DFB" w:rsidRDefault="00A76C9B" w:rsidP="0028573F">
            <w:pPr>
              <w:tabs>
                <w:tab w:val="right" w:pos="3312"/>
              </w:tabs>
              <w:rPr>
                <w:rFonts w:ascii="Arial" w:hAnsi="Arial" w:cs="Arial"/>
                <w:sz w:val="22"/>
                <w:szCs w:val="22"/>
              </w:rPr>
            </w:pPr>
            <w:r w:rsidRPr="009E3DFB">
              <w:rPr>
                <w:rFonts w:ascii="Arial" w:hAnsi="Arial" w:cs="Arial"/>
                <w:sz w:val="22"/>
                <w:szCs w:val="22"/>
              </w:rPr>
              <w:t>Classification Level</w:t>
            </w:r>
            <w:r w:rsidR="0028573F">
              <w:rPr>
                <w:rFonts w:ascii="Arial" w:hAnsi="Arial" w:cs="Arial"/>
                <w:sz w:val="22"/>
                <w:szCs w:val="22"/>
              </w:rPr>
              <w:tab/>
            </w:r>
          </w:p>
        </w:tc>
        <w:tc>
          <w:tcPr>
            <w:tcW w:w="5328" w:type="dxa"/>
            <w:tcBorders>
              <w:top w:val="single" w:sz="4" w:space="0" w:color="auto"/>
              <w:left w:val="single" w:sz="4" w:space="0" w:color="auto"/>
              <w:bottom w:val="single" w:sz="4" w:space="0" w:color="auto"/>
            </w:tcBorders>
            <w:shd w:val="clear" w:color="auto" w:fill="auto"/>
          </w:tcPr>
          <w:p w14:paraId="24D85FC4" w14:textId="77777777" w:rsidR="00A76C9B" w:rsidRPr="00681F82" w:rsidRDefault="00681F82" w:rsidP="00720F94">
            <w:pPr>
              <w:rPr>
                <w:rFonts w:ascii="Arial" w:hAnsi="Arial" w:cs="Arial"/>
                <w:i/>
                <w:sz w:val="22"/>
                <w:szCs w:val="22"/>
              </w:rPr>
            </w:pPr>
            <w:r w:rsidRPr="00681F82">
              <w:rPr>
                <w:rFonts w:ascii="Arial" w:hAnsi="Arial" w:cs="Arial"/>
                <w:i/>
                <w:sz w:val="22"/>
                <w:szCs w:val="22"/>
              </w:rPr>
              <w:t xml:space="preserve">SG </w:t>
            </w:r>
            <w:r w:rsidR="00720F94">
              <w:rPr>
                <w:rFonts w:ascii="Arial" w:hAnsi="Arial" w:cs="Arial"/>
                <w:i/>
                <w:sz w:val="22"/>
                <w:szCs w:val="22"/>
              </w:rPr>
              <w:t>10</w:t>
            </w:r>
          </w:p>
        </w:tc>
      </w:tr>
      <w:tr w:rsidR="000F57DF" w:rsidRPr="009E3DFB" w14:paraId="1016CBDF" w14:textId="77777777" w:rsidTr="0028573F">
        <w:tc>
          <w:tcPr>
            <w:tcW w:w="3528" w:type="dxa"/>
            <w:tcBorders>
              <w:top w:val="single" w:sz="4" w:space="0" w:color="auto"/>
              <w:left w:val="single" w:sz="18" w:space="0" w:color="E36C0A" w:themeColor="accent6" w:themeShade="BF"/>
              <w:bottom w:val="single" w:sz="18" w:space="0" w:color="E36C0A" w:themeColor="accent6" w:themeShade="BF"/>
              <w:right w:val="single" w:sz="4" w:space="0" w:color="auto"/>
            </w:tcBorders>
            <w:shd w:val="clear" w:color="auto" w:fill="auto"/>
          </w:tcPr>
          <w:p w14:paraId="463AB935" w14:textId="77777777" w:rsidR="000F57DF" w:rsidRPr="009E3DFB" w:rsidRDefault="000F57DF" w:rsidP="00A76C9B">
            <w:pPr>
              <w:rPr>
                <w:rFonts w:ascii="Arial" w:hAnsi="Arial" w:cs="Arial"/>
                <w:sz w:val="22"/>
                <w:szCs w:val="22"/>
              </w:rPr>
            </w:pPr>
            <w:r>
              <w:rPr>
                <w:rFonts w:ascii="Arial" w:hAnsi="Arial" w:cs="Arial"/>
                <w:sz w:val="22"/>
                <w:szCs w:val="22"/>
              </w:rPr>
              <w:t>Last Updated</w:t>
            </w:r>
          </w:p>
        </w:tc>
        <w:tc>
          <w:tcPr>
            <w:tcW w:w="5328" w:type="dxa"/>
            <w:tcBorders>
              <w:top w:val="single" w:sz="4" w:space="0" w:color="auto"/>
              <w:left w:val="single" w:sz="4" w:space="0" w:color="auto"/>
              <w:bottom w:val="single" w:sz="18" w:space="0" w:color="E36C0A" w:themeColor="accent6" w:themeShade="BF"/>
            </w:tcBorders>
            <w:shd w:val="clear" w:color="auto" w:fill="auto"/>
          </w:tcPr>
          <w:p w14:paraId="55E011C6" w14:textId="77777777" w:rsidR="000F57DF" w:rsidRPr="00681F82" w:rsidRDefault="00720F94" w:rsidP="00720F94">
            <w:pPr>
              <w:rPr>
                <w:rFonts w:ascii="Arial" w:hAnsi="Arial" w:cs="Arial"/>
                <w:i/>
                <w:sz w:val="22"/>
                <w:szCs w:val="22"/>
              </w:rPr>
            </w:pPr>
            <w:r>
              <w:rPr>
                <w:rFonts w:ascii="Arial" w:hAnsi="Arial" w:cs="Arial"/>
                <w:i/>
                <w:sz w:val="22"/>
                <w:szCs w:val="22"/>
              </w:rPr>
              <w:t>March</w:t>
            </w:r>
            <w:r w:rsidR="000F57DF">
              <w:rPr>
                <w:rFonts w:ascii="Arial" w:hAnsi="Arial" w:cs="Arial"/>
                <w:i/>
                <w:sz w:val="22"/>
                <w:szCs w:val="22"/>
              </w:rPr>
              <w:t>/</w:t>
            </w:r>
            <w:r>
              <w:rPr>
                <w:rFonts w:ascii="Arial" w:hAnsi="Arial" w:cs="Arial"/>
                <w:i/>
                <w:sz w:val="22"/>
                <w:szCs w:val="22"/>
              </w:rPr>
              <w:t>2017</w:t>
            </w:r>
          </w:p>
        </w:tc>
      </w:tr>
    </w:tbl>
    <w:p w14:paraId="5597F5EA" w14:textId="77777777" w:rsidR="00A76C9B" w:rsidRPr="008E7D41" w:rsidRDefault="00A76C9B" w:rsidP="00A76C9B">
      <w:pPr>
        <w:rPr>
          <w:rFonts w:ascii="Arial" w:hAnsi="Arial" w:cs="Arial"/>
          <w:sz w:val="20"/>
          <w:szCs w:val="20"/>
        </w:rPr>
      </w:pPr>
    </w:p>
    <w:tbl>
      <w:tblPr>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0A0" w:firstRow="1" w:lastRow="0" w:firstColumn="1" w:lastColumn="0" w:noHBand="0" w:noVBand="0"/>
      </w:tblPr>
      <w:tblGrid>
        <w:gridCol w:w="8594"/>
      </w:tblGrid>
      <w:tr w:rsidR="00A76C9B" w:rsidRPr="009E3DFB" w14:paraId="47849560" w14:textId="77777777" w:rsidTr="00AD1EF4">
        <w:trPr>
          <w:trHeight w:val="285"/>
        </w:trPr>
        <w:tc>
          <w:tcPr>
            <w:tcW w:w="8856" w:type="dxa"/>
            <w:shd w:val="clear" w:color="auto" w:fill="E0E0E0"/>
          </w:tcPr>
          <w:p w14:paraId="41C1EBEC" w14:textId="77777777" w:rsidR="00681F82" w:rsidRPr="00681F82" w:rsidRDefault="00A76C9B" w:rsidP="00681F82">
            <w:pPr>
              <w:rPr>
                <w:rFonts w:ascii="Arial" w:hAnsi="Arial" w:cs="Arial"/>
                <w:b/>
                <w:sz w:val="20"/>
                <w:szCs w:val="20"/>
              </w:rPr>
            </w:pPr>
            <w:r w:rsidRPr="009E3DFB">
              <w:rPr>
                <w:rFonts w:ascii="Arial" w:hAnsi="Arial" w:cs="Arial"/>
                <w:b/>
                <w:sz w:val="22"/>
                <w:szCs w:val="22"/>
              </w:rPr>
              <w:t>2.  Position Summary</w:t>
            </w:r>
            <w:r w:rsidRPr="009E3DFB">
              <w:rPr>
                <w:rFonts w:ascii="Arial" w:hAnsi="Arial" w:cs="Arial"/>
                <w:b/>
                <w:sz w:val="20"/>
                <w:szCs w:val="20"/>
              </w:rPr>
              <w:t xml:space="preserve"> </w:t>
            </w:r>
          </w:p>
        </w:tc>
      </w:tr>
      <w:tr w:rsidR="00A76C9B" w:rsidRPr="009E3DFB" w14:paraId="0274A8E0" w14:textId="77777777" w:rsidTr="00720F94">
        <w:trPr>
          <w:trHeight w:val="580"/>
        </w:trPr>
        <w:tc>
          <w:tcPr>
            <w:tcW w:w="8856" w:type="dxa"/>
            <w:shd w:val="clear" w:color="auto" w:fill="auto"/>
          </w:tcPr>
          <w:p w14:paraId="44635925" w14:textId="77777777" w:rsidR="00720F94" w:rsidRPr="00720F94" w:rsidRDefault="00720F94" w:rsidP="00720F94">
            <w:pPr>
              <w:pStyle w:val="Default"/>
              <w:spacing w:line="252" w:lineRule="auto"/>
              <w:rPr>
                <w:rFonts w:ascii="Calibri" w:hAnsi="Calibri" w:cs="Calibri"/>
                <w:sz w:val="20"/>
                <w:szCs w:val="20"/>
              </w:rPr>
            </w:pPr>
            <w:r w:rsidRPr="00720F94">
              <w:rPr>
                <w:rFonts w:ascii="Calibri" w:hAnsi="Calibri" w:cs="Calibri"/>
                <w:sz w:val="20"/>
                <w:szCs w:val="20"/>
              </w:rPr>
              <w:t>Student Affairs at the University of Victoria helps to transforms students’ lives by supporting and inspiring the highest standards of student learning and success, community engagement and staff development. The Division is comprised of over 30 reporting units in six departments: Athletics and Recreation, Campus Services, Indigenous Affairs, Office of the Registrar, Student Recruitment and Global Engagement, and Student Services. The comprehensive and integrated range of services we provide make Student Affairs one of the most dynamic and diverse divisions on campus. Together, we support UVIC’s vision “to be a university of choice for outstanding students, faculty, and staff from BC, Canada, and around the world.”</w:t>
            </w:r>
          </w:p>
          <w:p w14:paraId="325FAF0B" w14:textId="77777777" w:rsidR="00720F94" w:rsidRPr="00720F94" w:rsidRDefault="00720F94" w:rsidP="00720F94">
            <w:pPr>
              <w:pStyle w:val="Default"/>
              <w:spacing w:line="252" w:lineRule="auto"/>
              <w:rPr>
                <w:rFonts w:ascii="Calibri" w:hAnsi="Calibri" w:cs="Calibri"/>
                <w:sz w:val="20"/>
                <w:szCs w:val="20"/>
              </w:rPr>
            </w:pPr>
          </w:p>
          <w:p w14:paraId="1BCB013B" w14:textId="77777777" w:rsidR="00720F94" w:rsidRPr="00720F94" w:rsidRDefault="00720F94" w:rsidP="00720F94">
            <w:pPr>
              <w:pStyle w:val="Default"/>
              <w:spacing w:line="252" w:lineRule="auto"/>
              <w:rPr>
                <w:rFonts w:ascii="Calibri" w:hAnsi="Calibri" w:cs="Calibri"/>
                <w:sz w:val="20"/>
                <w:szCs w:val="20"/>
              </w:rPr>
            </w:pPr>
            <w:r w:rsidRPr="00720F94">
              <w:rPr>
                <w:rFonts w:ascii="Calibri" w:hAnsi="Calibri" w:cs="Calibri"/>
                <w:sz w:val="20"/>
                <w:szCs w:val="20"/>
              </w:rPr>
              <w:t xml:space="preserve">As part of the larger Division of Student Affairs, </w:t>
            </w:r>
            <w:r w:rsidRPr="00720F94">
              <w:rPr>
                <w:rFonts w:ascii="Calibri" w:hAnsi="Calibri"/>
                <w:sz w:val="20"/>
                <w:szCs w:val="20"/>
                <w:shd w:val="clear" w:color="auto" w:fill="FFFFFF"/>
              </w:rPr>
              <w:t xml:space="preserve">the Office of the Registrar (OREG) </w:t>
            </w:r>
            <w:r w:rsidRPr="00720F94">
              <w:rPr>
                <w:rFonts w:ascii="Calibri" w:hAnsi="Calibri" w:cs="Calibri"/>
                <w:sz w:val="20"/>
                <w:szCs w:val="20"/>
              </w:rPr>
              <w:t>places students at the centre of its operations in the provision of core institutional services and systems such as undergraduate and graduate admission, registration, course/exam scheduling, academic records management, curriculum/calendar, scholarships/financial aid and graduation. The OREG collaborates closely with academic and administrative partners as well as external stakeholders.</w:t>
            </w:r>
          </w:p>
          <w:p w14:paraId="55FAEBCE" w14:textId="77777777" w:rsidR="00720F94" w:rsidRPr="00720F94" w:rsidRDefault="00720F94" w:rsidP="00720F94">
            <w:pPr>
              <w:pStyle w:val="Default"/>
              <w:spacing w:line="252" w:lineRule="auto"/>
              <w:rPr>
                <w:rFonts w:ascii="Calibri" w:hAnsi="Calibri" w:cs="Calibri"/>
                <w:sz w:val="20"/>
                <w:szCs w:val="20"/>
              </w:rPr>
            </w:pPr>
          </w:p>
          <w:p w14:paraId="16352098" w14:textId="77777777" w:rsidR="00720F94" w:rsidRPr="00720F94" w:rsidRDefault="00720F94" w:rsidP="00720F94">
            <w:pPr>
              <w:rPr>
                <w:rFonts w:ascii="Calibri" w:hAnsi="Calibri"/>
                <w:sz w:val="20"/>
                <w:szCs w:val="20"/>
              </w:rPr>
            </w:pPr>
            <w:r w:rsidRPr="00720F94">
              <w:rPr>
                <w:rFonts w:ascii="Calibri" w:hAnsi="Calibri"/>
                <w:sz w:val="20"/>
                <w:szCs w:val="20"/>
              </w:rPr>
              <w:t>Reporting to the Associate Registrar, the Manager is responsible for the operational requirements of the Curriculum &amp; Calendar unit within the context of the larger Office of the Registrar (OREG) strategic and operational undertakings and is committed to the provision of an exemplary level of service to our community and in accordance with the values and strategic priorities of the Division of Student Affairs and the University of Victoria.</w:t>
            </w:r>
          </w:p>
          <w:p w14:paraId="0F302A22" w14:textId="77777777" w:rsidR="00720F94" w:rsidRPr="00720F94" w:rsidRDefault="00720F94" w:rsidP="00720F94">
            <w:pPr>
              <w:rPr>
                <w:rFonts w:ascii="Calibri" w:hAnsi="Calibri"/>
                <w:sz w:val="20"/>
                <w:szCs w:val="20"/>
              </w:rPr>
            </w:pPr>
          </w:p>
          <w:p w14:paraId="45CD15B2" w14:textId="77777777" w:rsidR="00720F94" w:rsidRPr="00720F94" w:rsidRDefault="00720F94" w:rsidP="00720F94">
            <w:pPr>
              <w:rPr>
                <w:rFonts w:ascii="Calibri" w:hAnsi="Calibri"/>
                <w:sz w:val="20"/>
                <w:szCs w:val="20"/>
              </w:rPr>
            </w:pPr>
            <w:r w:rsidRPr="00720F94">
              <w:rPr>
                <w:rFonts w:ascii="Calibri" w:hAnsi="Calibri"/>
                <w:sz w:val="20"/>
                <w:szCs w:val="20"/>
              </w:rPr>
              <w:t>The Manager of Curriculum and Calendar works closely with the OREG Leadership team to cultivate an environment of respect, accountability, creativity, inclusivity and collaboration across the Office of the Registrar and for building strategic and meaningful relationships with key partners across the organization.</w:t>
            </w:r>
          </w:p>
          <w:p w14:paraId="67C6221B" w14:textId="77777777" w:rsidR="00720F94" w:rsidRPr="00720F94" w:rsidRDefault="00720F94" w:rsidP="00720F94">
            <w:pPr>
              <w:rPr>
                <w:rFonts w:ascii="Calibri" w:hAnsi="Calibri"/>
                <w:sz w:val="20"/>
                <w:szCs w:val="20"/>
              </w:rPr>
            </w:pPr>
          </w:p>
          <w:p w14:paraId="37175AD9" w14:textId="77777777" w:rsidR="00720F94" w:rsidRPr="00720F94" w:rsidRDefault="00720F94" w:rsidP="00720F94">
            <w:pPr>
              <w:rPr>
                <w:rFonts w:ascii="Calibri" w:hAnsi="Calibri"/>
                <w:sz w:val="20"/>
                <w:szCs w:val="20"/>
              </w:rPr>
            </w:pPr>
            <w:r w:rsidRPr="00720F94">
              <w:rPr>
                <w:rFonts w:ascii="Calibri" w:hAnsi="Calibri"/>
                <w:sz w:val="20"/>
                <w:szCs w:val="20"/>
              </w:rPr>
              <w:t xml:space="preserve">The Manager provides leadership for the Calendar and Curriculum team and is responsible for the oversight and management of the centralized curriculum submission and approvals processes up to and including approval by the Senate Committee on Curriculum, Senate Committee on Planning and/or Board of Governors and Ministry, as required. </w:t>
            </w:r>
          </w:p>
          <w:p w14:paraId="16050609" w14:textId="77777777" w:rsidR="00720F94" w:rsidRPr="00720F94" w:rsidRDefault="00720F94" w:rsidP="00720F94">
            <w:pPr>
              <w:rPr>
                <w:rFonts w:ascii="Calibri" w:hAnsi="Calibri"/>
                <w:sz w:val="20"/>
                <w:szCs w:val="20"/>
              </w:rPr>
            </w:pPr>
          </w:p>
          <w:p w14:paraId="59C53A85" w14:textId="77777777" w:rsidR="00720F94" w:rsidRPr="00720F94" w:rsidRDefault="00720F94" w:rsidP="00720F94">
            <w:pPr>
              <w:rPr>
                <w:rFonts w:ascii="Calibri" w:hAnsi="Calibri"/>
                <w:sz w:val="20"/>
                <w:szCs w:val="20"/>
              </w:rPr>
            </w:pPr>
            <w:r w:rsidRPr="00720F94">
              <w:rPr>
                <w:rFonts w:ascii="Calibri" w:hAnsi="Calibri"/>
                <w:sz w:val="20"/>
                <w:szCs w:val="20"/>
              </w:rPr>
              <w:t>The Manager holds responsibility for the university’s academic calendar database, and is accountable for editorial changes (including standardizing language and format), accuracy of published curriculum information as approved by Senate, the timeliness of cyclical academic calendar publication, and the production of  related and supporting materials (i.e. guidelines and various other publication materials).</w:t>
            </w:r>
          </w:p>
          <w:p w14:paraId="7E62E371" w14:textId="77777777" w:rsidR="00720F94" w:rsidRPr="00720F94" w:rsidRDefault="00720F94" w:rsidP="00720F94">
            <w:pPr>
              <w:rPr>
                <w:rFonts w:ascii="Calibri" w:hAnsi="Calibri"/>
                <w:sz w:val="20"/>
                <w:szCs w:val="20"/>
              </w:rPr>
            </w:pPr>
          </w:p>
          <w:p w14:paraId="32BC722B" w14:textId="77777777" w:rsidR="00681F82" w:rsidRPr="00720F94" w:rsidRDefault="00720F94" w:rsidP="00A76C9B">
            <w:pPr>
              <w:rPr>
                <w:rFonts w:ascii="Calibri" w:hAnsi="Calibri"/>
                <w:sz w:val="20"/>
                <w:szCs w:val="20"/>
              </w:rPr>
            </w:pPr>
            <w:r w:rsidRPr="00720F94">
              <w:rPr>
                <w:rFonts w:ascii="Calibri" w:hAnsi="Calibri"/>
                <w:sz w:val="20"/>
                <w:szCs w:val="20"/>
              </w:rPr>
              <w:t xml:space="preserve">The Manager serves as the Secretary to the Senate Committee on Curriculum and contributes to relevant committees and projects.  As an integral part of the OREG Leadership team, the Manager provides expert </w:t>
            </w:r>
            <w:r w:rsidRPr="00720F94">
              <w:rPr>
                <w:rFonts w:ascii="Calibri" w:hAnsi="Calibri"/>
                <w:sz w:val="20"/>
                <w:szCs w:val="20"/>
              </w:rPr>
              <w:lastRenderedPageBreak/>
              <w:t xml:space="preserve">advice, supervision and informal guidance and direction with respect to OREG operations and responsibilities across the department, division and campus. </w:t>
            </w:r>
          </w:p>
        </w:tc>
      </w:tr>
    </w:tbl>
    <w:p w14:paraId="507F5744" w14:textId="77777777" w:rsidR="00A76C9B" w:rsidRPr="008E7D41" w:rsidRDefault="00A76C9B" w:rsidP="00A76C9B">
      <w:pPr>
        <w:rPr>
          <w:rFonts w:ascii="Arial" w:hAnsi="Arial" w:cs="Arial"/>
          <w:sz w:val="20"/>
          <w:szCs w:val="20"/>
        </w:rPr>
      </w:pPr>
    </w:p>
    <w:tbl>
      <w:tblPr>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0A0" w:firstRow="1" w:lastRow="0" w:firstColumn="1" w:lastColumn="0" w:noHBand="0" w:noVBand="0"/>
      </w:tblPr>
      <w:tblGrid>
        <w:gridCol w:w="2498"/>
        <w:gridCol w:w="6096"/>
      </w:tblGrid>
      <w:tr w:rsidR="00A76C9B" w:rsidRPr="009E3DFB" w14:paraId="7E666BD7" w14:textId="77777777" w:rsidTr="00BF10AC">
        <w:trPr>
          <w:trHeight w:val="258"/>
        </w:trPr>
        <w:tc>
          <w:tcPr>
            <w:tcW w:w="8856" w:type="dxa"/>
            <w:gridSpan w:val="2"/>
            <w:tcBorders>
              <w:bottom w:val="single" w:sz="4" w:space="0" w:color="auto"/>
            </w:tcBorders>
            <w:shd w:val="clear" w:color="auto" w:fill="E6E6E6"/>
          </w:tcPr>
          <w:p w14:paraId="4043A6E5" w14:textId="77777777" w:rsidR="00A76C9B" w:rsidRPr="009E3DFB" w:rsidRDefault="00A76C9B" w:rsidP="00720F94">
            <w:pPr>
              <w:rPr>
                <w:rFonts w:ascii="Arial" w:hAnsi="Arial" w:cs="Arial"/>
                <w:sz w:val="20"/>
                <w:szCs w:val="20"/>
              </w:rPr>
            </w:pPr>
            <w:r w:rsidRPr="009E3DFB">
              <w:rPr>
                <w:rFonts w:ascii="Arial" w:hAnsi="Arial" w:cs="Arial"/>
                <w:b/>
                <w:sz w:val="22"/>
                <w:szCs w:val="22"/>
              </w:rPr>
              <w:t xml:space="preserve"> 3.  Key Responsibilities and Expectations </w:t>
            </w:r>
          </w:p>
        </w:tc>
      </w:tr>
      <w:tr w:rsidR="00A76C9B" w:rsidRPr="009E3DFB" w14:paraId="39E274D0" w14:textId="77777777" w:rsidTr="00651782">
        <w:trPr>
          <w:trHeight w:val="387"/>
        </w:trPr>
        <w:tc>
          <w:tcPr>
            <w:tcW w:w="2538" w:type="dxa"/>
            <w:tcBorders>
              <w:top w:val="single" w:sz="4" w:space="0" w:color="auto"/>
              <w:bottom w:val="single" w:sz="4" w:space="0" w:color="auto"/>
            </w:tcBorders>
            <w:shd w:val="clear" w:color="auto" w:fill="F3F3F3"/>
          </w:tcPr>
          <w:p w14:paraId="3A441057" w14:textId="77777777" w:rsidR="00A76C9B" w:rsidRPr="009E3DFB" w:rsidRDefault="00A76C9B" w:rsidP="00A76C9B">
            <w:pPr>
              <w:rPr>
                <w:rFonts w:ascii="Arial" w:hAnsi="Arial" w:cs="Arial"/>
                <w:sz w:val="20"/>
                <w:szCs w:val="20"/>
              </w:rPr>
            </w:pPr>
            <w:r w:rsidRPr="009E3DFB">
              <w:rPr>
                <w:rFonts w:ascii="Arial" w:hAnsi="Arial" w:cs="Arial"/>
                <w:sz w:val="20"/>
                <w:szCs w:val="20"/>
              </w:rPr>
              <w:t>Key Responsibilities.</w:t>
            </w:r>
            <w:r w:rsidR="006658CA" w:rsidRPr="009E3DFB">
              <w:rPr>
                <w:rFonts w:ascii="Arial" w:hAnsi="Arial" w:cs="Arial"/>
                <w:sz w:val="20"/>
                <w:szCs w:val="20"/>
              </w:rPr>
              <w:t xml:space="preserve">        %of time </w:t>
            </w:r>
          </w:p>
        </w:tc>
        <w:tc>
          <w:tcPr>
            <w:tcW w:w="6318" w:type="dxa"/>
            <w:tcBorders>
              <w:top w:val="single" w:sz="4" w:space="0" w:color="auto"/>
              <w:bottom w:val="single" w:sz="4" w:space="0" w:color="auto"/>
            </w:tcBorders>
            <w:shd w:val="clear" w:color="auto" w:fill="F3F3F3"/>
          </w:tcPr>
          <w:p w14:paraId="6033AF8C" w14:textId="77777777" w:rsidR="00A76C9B" w:rsidRPr="009E3DFB" w:rsidRDefault="00A76C9B" w:rsidP="004D2E9C">
            <w:pPr>
              <w:rPr>
                <w:rFonts w:ascii="Arial" w:hAnsi="Arial" w:cs="Arial"/>
                <w:sz w:val="20"/>
                <w:szCs w:val="20"/>
              </w:rPr>
            </w:pPr>
            <w:r w:rsidRPr="009E3DFB">
              <w:rPr>
                <w:rFonts w:ascii="Arial" w:hAnsi="Arial" w:cs="Arial"/>
                <w:sz w:val="20"/>
                <w:szCs w:val="20"/>
              </w:rPr>
              <w:t>Expectations:</w:t>
            </w:r>
          </w:p>
        </w:tc>
      </w:tr>
      <w:tr w:rsidR="00A76C9B" w:rsidRPr="009E3DFB" w14:paraId="3C24C08D" w14:textId="77777777" w:rsidTr="00651782">
        <w:tc>
          <w:tcPr>
            <w:tcW w:w="2538" w:type="dxa"/>
            <w:tcBorders>
              <w:top w:val="single" w:sz="4" w:space="0" w:color="auto"/>
              <w:bottom w:val="single" w:sz="4" w:space="0" w:color="auto"/>
              <w:right w:val="single" w:sz="4" w:space="0" w:color="auto"/>
            </w:tcBorders>
            <w:shd w:val="clear" w:color="auto" w:fill="auto"/>
          </w:tcPr>
          <w:p w14:paraId="3FA81911" w14:textId="77777777" w:rsidR="00DF458F" w:rsidRPr="00DF458F" w:rsidRDefault="00DF458F" w:rsidP="00DF458F">
            <w:pPr>
              <w:widowControl w:val="0"/>
              <w:tabs>
                <w:tab w:val="left" w:pos="9072"/>
              </w:tabs>
              <w:autoSpaceDE w:val="0"/>
              <w:autoSpaceDN w:val="0"/>
              <w:ind w:right="288"/>
              <w:rPr>
                <w:rFonts w:ascii="Calibri" w:hAnsi="Calibri"/>
                <w:bCs/>
                <w:sz w:val="20"/>
                <w:szCs w:val="20"/>
              </w:rPr>
            </w:pPr>
            <w:r w:rsidRPr="00DF458F">
              <w:rPr>
                <w:rFonts w:ascii="Calibri" w:hAnsi="Calibri"/>
                <w:sz w:val="20"/>
                <w:szCs w:val="20"/>
                <w:lang w:val="en-CA"/>
              </w:rPr>
              <w:t xml:space="preserve">Curriculum Submission and Approval Process       </w:t>
            </w:r>
            <w:r w:rsidRPr="00DF458F">
              <w:rPr>
                <w:rFonts w:ascii="Calibri" w:hAnsi="Calibri"/>
                <w:bCs/>
                <w:sz w:val="20"/>
                <w:szCs w:val="20"/>
              </w:rPr>
              <w:t xml:space="preserve">                  </w:t>
            </w:r>
          </w:p>
          <w:p w14:paraId="2ED68249" w14:textId="77777777" w:rsidR="00A76C9B" w:rsidRPr="009E3DFB" w:rsidRDefault="00DF458F" w:rsidP="00DF458F">
            <w:pPr>
              <w:rPr>
                <w:rFonts w:ascii="Arial" w:hAnsi="Arial" w:cs="Arial"/>
                <w:sz w:val="20"/>
                <w:szCs w:val="20"/>
              </w:rPr>
            </w:pPr>
            <w:r w:rsidRPr="00DF458F">
              <w:rPr>
                <w:rFonts w:ascii="Calibri" w:hAnsi="Calibri"/>
                <w:sz w:val="20"/>
                <w:szCs w:val="20"/>
              </w:rPr>
              <w:t>35%</w:t>
            </w:r>
          </w:p>
        </w:tc>
        <w:tc>
          <w:tcPr>
            <w:tcW w:w="6318" w:type="dxa"/>
            <w:tcBorders>
              <w:top w:val="single" w:sz="4" w:space="0" w:color="auto"/>
              <w:left w:val="single" w:sz="4" w:space="0" w:color="auto"/>
              <w:bottom w:val="single" w:sz="4" w:space="0" w:color="auto"/>
            </w:tcBorders>
            <w:shd w:val="clear" w:color="auto" w:fill="auto"/>
          </w:tcPr>
          <w:p w14:paraId="7650ED94"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Provides advice and guidance on the process and related </w:t>
            </w:r>
            <w:r w:rsidRPr="00DF458F">
              <w:rPr>
                <w:rFonts w:ascii="Calibri" w:hAnsi="Calibri"/>
                <w:sz w:val="20"/>
                <w:szCs w:val="20"/>
              </w:rPr>
              <w:t>university</w:t>
            </w:r>
            <w:r w:rsidRPr="00DF458F">
              <w:rPr>
                <w:rFonts w:ascii="Calibri" w:hAnsi="Calibri"/>
                <w:bCs/>
                <w:sz w:val="20"/>
                <w:szCs w:val="20"/>
              </w:rPr>
              <w:t xml:space="preserve"> policies, regulations and guidelines. </w:t>
            </w:r>
          </w:p>
          <w:p w14:paraId="19B73669" w14:textId="77777777" w:rsidR="00DF458F" w:rsidRPr="00DF458F" w:rsidRDefault="00DF458F" w:rsidP="00DF458F">
            <w:pPr>
              <w:widowControl w:val="0"/>
              <w:tabs>
                <w:tab w:val="left" w:pos="9072"/>
              </w:tabs>
              <w:autoSpaceDE w:val="0"/>
              <w:autoSpaceDN w:val="0"/>
              <w:ind w:left="360" w:right="288"/>
              <w:rPr>
                <w:rFonts w:ascii="Calibri" w:hAnsi="Calibri"/>
                <w:sz w:val="20"/>
                <w:szCs w:val="20"/>
                <w:lang w:val="en-CA"/>
              </w:rPr>
            </w:pPr>
          </w:p>
          <w:p w14:paraId="24AF2680"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Provides case-specific advice to units and faculties, creating coordinated schedules and in the preparation of submissions, helping them effectively navigate the available cycles and how changes may affect other frameworks (e.g. other submissions, </w:t>
            </w:r>
            <w:r w:rsidRPr="00DF458F">
              <w:rPr>
                <w:rFonts w:ascii="Calibri" w:hAnsi="Calibri"/>
                <w:sz w:val="20"/>
                <w:szCs w:val="20"/>
              </w:rPr>
              <w:t>timetabling</w:t>
            </w:r>
            <w:r w:rsidRPr="00DF458F">
              <w:rPr>
                <w:rFonts w:ascii="Calibri" w:hAnsi="Calibri"/>
                <w:bCs/>
                <w:sz w:val="20"/>
                <w:szCs w:val="20"/>
              </w:rPr>
              <w:t xml:space="preserve">, degree audit reports, and student timing and service). </w:t>
            </w:r>
          </w:p>
          <w:p w14:paraId="6E64B37F" w14:textId="77777777" w:rsidR="00DF458F" w:rsidRPr="00DF458F" w:rsidRDefault="00DF458F" w:rsidP="00DF458F">
            <w:pPr>
              <w:widowControl w:val="0"/>
              <w:tabs>
                <w:tab w:val="left" w:pos="9072"/>
              </w:tabs>
              <w:autoSpaceDE w:val="0"/>
              <w:autoSpaceDN w:val="0"/>
              <w:ind w:left="360" w:right="288"/>
              <w:rPr>
                <w:rFonts w:ascii="Calibri" w:hAnsi="Calibri"/>
                <w:sz w:val="20"/>
                <w:szCs w:val="20"/>
                <w:lang w:val="en-CA"/>
              </w:rPr>
            </w:pPr>
          </w:p>
          <w:p w14:paraId="2846F56A"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Reviews all curriculum submissions for editorial consistency and clarity while applying the policy and procedures (AC1120 and Guidelines) to ensure a high quality </w:t>
            </w:r>
            <w:r w:rsidRPr="00DF458F">
              <w:rPr>
                <w:rFonts w:ascii="Calibri" w:hAnsi="Calibri"/>
                <w:sz w:val="20"/>
                <w:szCs w:val="20"/>
              </w:rPr>
              <w:t>submission</w:t>
            </w:r>
            <w:r w:rsidRPr="00DF458F">
              <w:rPr>
                <w:rFonts w:ascii="Calibri" w:hAnsi="Calibri"/>
                <w:bCs/>
                <w:sz w:val="20"/>
                <w:szCs w:val="20"/>
              </w:rPr>
              <w:t xml:space="preserve"> is available for the Senate Committee on Curriculum review and approval.</w:t>
            </w:r>
          </w:p>
          <w:p w14:paraId="4541BB19" w14:textId="77777777" w:rsidR="00DF458F" w:rsidRPr="00DF458F" w:rsidRDefault="00DF458F" w:rsidP="00DF458F">
            <w:pPr>
              <w:widowControl w:val="0"/>
              <w:tabs>
                <w:tab w:val="left" w:pos="9072"/>
              </w:tabs>
              <w:autoSpaceDE w:val="0"/>
              <w:autoSpaceDN w:val="0"/>
              <w:ind w:left="360" w:right="288"/>
              <w:rPr>
                <w:rFonts w:ascii="Calibri" w:hAnsi="Calibri"/>
                <w:sz w:val="20"/>
                <w:szCs w:val="20"/>
                <w:lang w:val="en-CA"/>
              </w:rPr>
            </w:pPr>
          </w:p>
          <w:p w14:paraId="05B394E3"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Manages the process flow (Academic units to Faculty </w:t>
            </w:r>
            <w:r w:rsidRPr="00DF458F">
              <w:rPr>
                <w:rFonts w:ascii="Calibri" w:hAnsi="Calibri"/>
                <w:sz w:val="20"/>
                <w:szCs w:val="20"/>
              </w:rPr>
              <w:t>Curriculum</w:t>
            </w:r>
            <w:r w:rsidRPr="00DF458F">
              <w:rPr>
                <w:rFonts w:ascii="Calibri" w:hAnsi="Calibri"/>
                <w:bCs/>
                <w:sz w:val="20"/>
                <w:szCs w:val="20"/>
              </w:rPr>
              <w:t xml:space="preserve"> Committees, Faculty, </w:t>
            </w:r>
            <w:r w:rsidR="00535A63" w:rsidRPr="00DF458F">
              <w:rPr>
                <w:rFonts w:ascii="Calibri" w:hAnsi="Calibri"/>
                <w:bCs/>
                <w:sz w:val="20"/>
                <w:szCs w:val="20"/>
              </w:rPr>
              <w:t>and Senate</w:t>
            </w:r>
            <w:r w:rsidRPr="00DF458F">
              <w:rPr>
                <w:rFonts w:ascii="Calibri" w:hAnsi="Calibri"/>
                <w:bCs/>
                <w:sz w:val="20"/>
                <w:szCs w:val="20"/>
              </w:rPr>
              <w:t xml:space="preserve"> Committee on Curriculum and Senate).</w:t>
            </w:r>
          </w:p>
          <w:p w14:paraId="55638408" w14:textId="77777777" w:rsidR="00DF458F" w:rsidRPr="00DF458F" w:rsidRDefault="00DF458F" w:rsidP="00DF458F">
            <w:pPr>
              <w:rPr>
                <w:rFonts w:ascii="Calibri" w:hAnsi="Calibri"/>
                <w:bCs/>
                <w:sz w:val="20"/>
                <w:szCs w:val="20"/>
              </w:rPr>
            </w:pPr>
          </w:p>
          <w:p w14:paraId="65CD1041" w14:textId="77777777" w:rsidR="00DF458F" w:rsidRPr="00DF458F" w:rsidRDefault="00DF458F" w:rsidP="00DF458F">
            <w:pPr>
              <w:rPr>
                <w:rFonts w:ascii="Calibri" w:hAnsi="Calibri"/>
                <w:bCs/>
                <w:sz w:val="20"/>
                <w:szCs w:val="20"/>
              </w:rPr>
            </w:pPr>
            <w:r w:rsidRPr="00DF458F">
              <w:rPr>
                <w:rFonts w:ascii="Calibri" w:hAnsi="Calibri"/>
                <w:bCs/>
                <w:sz w:val="20"/>
                <w:szCs w:val="20"/>
              </w:rPr>
              <w:t>Collaborates with other OREG units when reviewing curriculum submissions to ensure calendar changes can be supported and enforced.</w:t>
            </w:r>
          </w:p>
          <w:p w14:paraId="06F5764B" w14:textId="77777777" w:rsidR="00DF458F" w:rsidRPr="00DF458F" w:rsidRDefault="00DF458F" w:rsidP="00DF458F">
            <w:pPr>
              <w:widowControl w:val="0"/>
              <w:autoSpaceDE w:val="0"/>
              <w:autoSpaceDN w:val="0"/>
              <w:ind w:left="720"/>
              <w:contextualSpacing/>
              <w:rPr>
                <w:rFonts w:ascii="Calibri" w:hAnsi="Calibri"/>
                <w:bCs/>
                <w:sz w:val="20"/>
                <w:szCs w:val="20"/>
                <w:lang w:val="en-CA"/>
              </w:rPr>
            </w:pPr>
          </w:p>
          <w:p w14:paraId="11C7C536" w14:textId="77777777" w:rsidR="00DF458F" w:rsidRPr="00DF458F" w:rsidRDefault="00DF458F" w:rsidP="00DF458F">
            <w:pPr>
              <w:rPr>
                <w:rFonts w:ascii="Calibri" w:hAnsi="Calibri"/>
                <w:bCs/>
                <w:sz w:val="20"/>
                <w:szCs w:val="20"/>
              </w:rPr>
            </w:pPr>
            <w:r w:rsidRPr="00DF458F">
              <w:rPr>
                <w:rFonts w:ascii="Calibri" w:hAnsi="Calibri"/>
                <w:bCs/>
                <w:sz w:val="20"/>
                <w:szCs w:val="20"/>
              </w:rPr>
              <w:t>Manages the editorial review of proposed Faculty curriculum and calendar changes to ensure adherence to curriculum and calendar policies and procedures.</w:t>
            </w:r>
          </w:p>
          <w:p w14:paraId="37E5514E" w14:textId="77777777" w:rsidR="00DF458F" w:rsidRPr="00DF458F" w:rsidRDefault="00DF458F" w:rsidP="00DF458F">
            <w:pPr>
              <w:widowControl w:val="0"/>
              <w:tabs>
                <w:tab w:val="left" w:pos="9072"/>
              </w:tabs>
              <w:autoSpaceDE w:val="0"/>
              <w:autoSpaceDN w:val="0"/>
              <w:ind w:right="288"/>
              <w:rPr>
                <w:rFonts w:ascii="Calibri" w:hAnsi="Calibri"/>
                <w:sz w:val="20"/>
                <w:szCs w:val="20"/>
                <w:lang w:val="en-CA"/>
              </w:rPr>
            </w:pPr>
          </w:p>
          <w:p w14:paraId="736CE903" w14:textId="77777777" w:rsidR="00DF458F" w:rsidRPr="00DF458F" w:rsidRDefault="00DF458F" w:rsidP="00DF458F">
            <w:pPr>
              <w:rPr>
                <w:rFonts w:ascii="Calibri" w:hAnsi="Calibri"/>
                <w:bCs/>
                <w:sz w:val="20"/>
                <w:szCs w:val="20"/>
              </w:rPr>
            </w:pPr>
            <w:r w:rsidRPr="00DF458F">
              <w:rPr>
                <w:rFonts w:ascii="Calibri" w:hAnsi="Calibri"/>
                <w:bCs/>
                <w:sz w:val="20"/>
                <w:szCs w:val="20"/>
              </w:rPr>
              <w:t>Conducts continuous review of the submission process with the Associate Registrar, Chair of the Senate Committee on Curriculum and the Faculty Curriculum Committee Chairs to identify, implement and communicate the necessary changes to enhance efficiency and improve accuracy.</w:t>
            </w:r>
          </w:p>
          <w:p w14:paraId="34340377" w14:textId="77777777" w:rsidR="00DF458F" w:rsidRPr="00DF458F" w:rsidRDefault="00DF458F" w:rsidP="00DF458F">
            <w:pPr>
              <w:widowControl w:val="0"/>
              <w:tabs>
                <w:tab w:val="left" w:pos="9072"/>
              </w:tabs>
              <w:autoSpaceDE w:val="0"/>
              <w:autoSpaceDN w:val="0"/>
              <w:ind w:right="288"/>
              <w:rPr>
                <w:rFonts w:ascii="Calibri" w:hAnsi="Calibri"/>
                <w:sz w:val="20"/>
                <w:szCs w:val="20"/>
                <w:lang w:val="en-CA"/>
              </w:rPr>
            </w:pPr>
          </w:p>
          <w:p w14:paraId="4A75AAF2" w14:textId="77777777" w:rsidR="00DF458F" w:rsidRPr="00DF458F" w:rsidRDefault="00DF458F" w:rsidP="00DF458F">
            <w:pPr>
              <w:rPr>
                <w:rFonts w:ascii="Calibri" w:hAnsi="Calibri"/>
                <w:bCs/>
                <w:sz w:val="20"/>
                <w:szCs w:val="20"/>
              </w:rPr>
            </w:pPr>
            <w:r w:rsidRPr="00DF458F">
              <w:rPr>
                <w:rFonts w:ascii="Calibri" w:hAnsi="Calibri"/>
                <w:bCs/>
                <w:sz w:val="20"/>
                <w:szCs w:val="20"/>
              </w:rPr>
              <w:t>Prepares written recommendations for a variety of campus stakeholders including the University Secretary and Senate.</w:t>
            </w:r>
          </w:p>
          <w:p w14:paraId="1F2BE107" w14:textId="77777777" w:rsidR="00DF458F" w:rsidRPr="00DF458F" w:rsidRDefault="00DF458F" w:rsidP="00DF458F">
            <w:pPr>
              <w:widowControl w:val="0"/>
              <w:tabs>
                <w:tab w:val="num" w:pos="360"/>
                <w:tab w:val="left" w:pos="9072"/>
              </w:tabs>
              <w:autoSpaceDE w:val="0"/>
              <w:autoSpaceDN w:val="0"/>
              <w:ind w:right="288"/>
              <w:rPr>
                <w:rFonts w:ascii="Calibri" w:hAnsi="Calibri"/>
                <w:bCs/>
                <w:sz w:val="20"/>
                <w:szCs w:val="20"/>
                <w:lang w:val="en-CA"/>
              </w:rPr>
            </w:pPr>
          </w:p>
          <w:p w14:paraId="71649E95" w14:textId="77777777" w:rsidR="00A43787" w:rsidRPr="00DF458F" w:rsidRDefault="00DF458F" w:rsidP="00A43787">
            <w:pPr>
              <w:rPr>
                <w:rFonts w:ascii="Calibri" w:hAnsi="Calibri"/>
                <w:bCs/>
                <w:sz w:val="20"/>
                <w:szCs w:val="20"/>
              </w:rPr>
            </w:pPr>
            <w:r w:rsidRPr="00DF458F">
              <w:rPr>
                <w:rFonts w:ascii="Calibri" w:hAnsi="Calibri"/>
                <w:bCs/>
                <w:sz w:val="20"/>
                <w:szCs w:val="20"/>
              </w:rPr>
              <w:t xml:space="preserve">Participates and/or leads relevant committees and </w:t>
            </w:r>
            <w:r w:rsidRPr="00DF458F">
              <w:rPr>
                <w:rFonts w:ascii="Calibri" w:hAnsi="Calibri"/>
                <w:sz w:val="20"/>
                <w:szCs w:val="20"/>
              </w:rPr>
              <w:t>projects</w:t>
            </w:r>
            <w:r w:rsidRPr="00DF458F">
              <w:rPr>
                <w:rFonts w:ascii="Calibri" w:hAnsi="Calibri"/>
                <w:bCs/>
                <w:sz w:val="20"/>
                <w:szCs w:val="20"/>
              </w:rPr>
              <w:t xml:space="preserve">. </w:t>
            </w:r>
          </w:p>
        </w:tc>
      </w:tr>
      <w:tr w:rsidR="00A76C9B" w:rsidRPr="009E3DFB" w14:paraId="5EDC133E" w14:textId="77777777" w:rsidTr="00651782">
        <w:tc>
          <w:tcPr>
            <w:tcW w:w="2538" w:type="dxa"/>
            <w:tcBorders>
              <w:top w:val="single" w:sz="4" w:space="0" w:color="auto"/>
              <w:bottom w:val="single" w:sz="4" w:space="0" w:color="auto"/>
              <w:right w:val="single" w:sz="4" w:space="0" w:color="auto"/>
            </w:tcBorders>
            <w:shd w:val="clear" w:color="auto" w:fill="auto"/>
          </w:tcPr>
          <w:p w14:paraId="68FBB5F7" w14:textId="77777777" w:rsidR="00DF458F" w:rsidRPr="00DF458F" w:rsidRDefault="00DF458F" w:rsidP="00DF458F">
            <w:pPr>
              <w:widowControl w:val="0"/>
              <w:tabs>
                <w:tab w:val="left" w:pos="9072"/>
              </w:tabs>
              <w:autoSpaceDE w:val="0"/>
              <w:autoSpaceDN w:val="0"/>
              <w:ind w:right="288"/>
              <w:rPr>
                <w:rFonts w:ascii="Calibri" w:hAnsi="Calibri"/>
                <w:sz w:val="20"/>
                <w:szCs w:val="20"/>
                <w:lang w:val="en-CA"/>
              </w:rPr>
            </w:pPr>
            <w:r w:rsidRPr="00DF458F">
              <w:rPr>
                <w:rFonts w:ascii="Calibri" w:hAnsi="Calibri"/>
                <w:sz w:val="20"/>
                <w:szCs w:val="20"/>
                <w:lang w:val="en-CA"/>
              </w:rPr>
              <w:t>New program processes</w:t>
            </w:r>
          </w:p>
          <w:p w14:paraId="1B80AF48" w14:textId="77777777" w:rsidR="00DF458F" w:rsidRPr="00DF458F" w:rsidRDefault="00DF458F" w:rsidP="00DF458F">
            <w:pPr>
              <w:widowControl w:val="0"/>
              <w:tabs>
                <w:tab w:val="left" w:pos="9072"/>
              </w:tabs>
              <w:autoSpaceDE w:val="0"/>
              <w:autoSpaceDN w:val="0"/>
              <w:ind w:right="288"/>
              <w:rPr>
                <w:rFonts w:ascii="Calibri" w:hAnsi="Calibri"/>
                <w:sz w:val="20"/>
                <w:szCs w:val="20"/>
                <w:lang w:val="en-CA"/>
              </w:rPr>
            </w:pPr>
            <w:r w:rsidRPr="00DF458F">
              <w:rPr>
                <w:rFonts w:ascii="Calibri" w:hAnsi="Calibri"/>
                <w:sz w:val="20"/>
                <w:szCs w:val="20"/>
                <w:lang w:val="en-CA"/>
              </w:rPr>
              <w:t>15</w:t>
            </w:r>
            <w:r w:rsidRPr="00DF458F">
              <w:rPr>
                <w:rFonts w:ascii="Calibri" w:hAnsi="Calibri"/>
                <w:bCs/>
                <w:sz w:val="20"/>
                <w:szCs w:val="20"/>
                <w:lang w:val="en-CA"/>
              </w:rPr>
              <w:t>%</w:t>
            </w:r>
            <w:r w:rsidRPr="00DF458F">
              <w:rPr>
                <w:rFonts w:ascii="Calibri" w:hAnsi="Calibri"/>
                <w:sz w:val="20"/>
                <w:szCs w:val="20"/>
                <w:lang w:val="en-CA"/>
              </w:rPr>
              <w:t xml:space="preserve"> </w:t>
            </w:r>
          </w:p>
          <w:p w14:paraId="32D11BDF" w14:textId="77777777" w:rsidR="00DF458F" w:rsidRPr="00DF458F" w:rsidRDefault="00DF458F" w:rsidP="00DF458F">
            <w:pPr>
              <w:widowControl w:val="0"/>
              <w:tabs>
                <w:tab w:val="left" w:pos="9072"/>
              </w:tabs>
              <w:autoSpaceDE w:val="0"/>
              <w:autoSpaceDN w:val="0"/>
              <w:ind w:left="360" w:right="288"/>
              <w:rPr>
                <w:rFonts w:ascii="Calibri" w:hAnsi="Calibri"/>
                <w:sz w:val="20"/>
                <w:szCs w:val="20"/>
                <w:lang w:val="en-CA"/>
              </w:rPr>
            </w:pPr>
          </w:p>
          <w:p w14:paraId="1B271521" w14:textId="77777777" w:rsidR="00A76C9B" w:rsidRPr="009E3DFB" w:rsidRDefault="00A76C9B" w:rsidP="00A76C9B">
            <w:pPr>
              <w:rPr>
                <w:rFonts w:ascii="Arial" w:hAnsi="Arial" w:cs="Arial"/>
                <w:sz w:val="20"/>
                <w:szCs w:val="20"/>
              </w:rPr>
            </w:pPr>
          </w:p>
        </w:tc>
        <w:tc>
          <w:tcPr>
            <w:tcW w:w="6318" w:type="dxa"/>
            <w:tcBorders>
              <w:top w:val="single" w:sz="4" w:space="0" w:color="auto"/>
              <w:left w:val="single" w:sz="4" w:space="0" w:color="auto"/>
              <w:bottom w:val="single" w:sz="4" w:space="0" w:color="auto"/>
            </w:tcBorders>
            <w:shd w:val="clear" w:color="auto" w:fill="auto"/>
          </w:tcPr>
          <w:p w14:paraId="456241AB" w14:textId="77777777" w:rsidR="00DF458F" w:rsidRPr="00DF458F" w:rsidRDefault="00DF458F" w:rsidP="00DF458F">
            <w:pPr>
              <w:rPr>
                <w:rFonts w:ascii="Calibri" w:hAnsi="Calibri"/>
                <w:bCs/>
                <w:sz w:val="20"/>
                <w:szCs w:val="20"/>
              </w:rPr>
            </w:pPr>
            <w:r w:rsidRPr="00DF458F">
              <w:rPr>
                <w:rFonts w:ascii="Calibri" w:hAnsi="Calibri"/>
                <w:bCs/>
                <w:sz w:val="20"/>
                <w:szCs w:val="20"/>
              </w:rPr>
              <w:t>Manages and tracks the approval of new program information approved by Senate through the Senate Committee on Planning, the Ministry of Advanced Education and the Senate Curriculum Committee to ensure an accurate calendar is published.</w:t>
            </w:r>
          </w:p>
          <w:p w14:paraId="657E1D2D" w14:textId="77777777" w:rsidR="00DF458F" w:rsidRPr="00DF458F" w:rsidRDefault="00DF458F" w:rsidP="00DF458F">
            <w:pPr>
              <w:pStyle w:val="BodyTextIndent"/>
              <w:tabs>
                <w:tab w:val="left" w:pos="9072"/>
              </w:tabs>
              <w:ind w:left="360" w:right="288"/>
              <w:jc w:val="left"/>
              <w:rPr>
                <w:rFonts w:ascii="Calibri" w:hAnsi="Calibri" w:cs="Times New Roman"/>
                <w:b w:val="0"/>
                <w:bCs w:val="0"/>
                <w:sz w:val="20"/>
                <w:szCs w:val="20"/>
              </w:rPr>
            </w:pPr>
          </w:p>
          <w:p w14:paraId="3232424E"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Collaborates with the University Secretaries Office (USEC), Faculties and academic units, Senate Committee on Academic Standards and the Senate Committee on Curriculum in tracking the approval and publishing new or revised policies and calendar regulations. </w:t>
            </w:r>
          </w:p>
          <w:p w14:paraId="4D2686F2"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5A13DF3C" w14:textId="77777777" w:rsidR="00DF458F" w:rsidRPr="00DF458F" w:rsidRDefault="00DF458F" w:rsidP="00DF458F">
            <w:pPr>
              <w:rPr>
                <w:rFonts w:ascii="Calibri" w:hAnsi="Calibri"/>
                <w:bCs/>
                <w:sz w:val="20"/>
                <w:szCs w:val="20"/>
              </w:rPr>
            </w:pPr>
            <w:r w:rsidRPr="00DF458F">
              <w:rPr>
                <w:rFonts w:ascii="Calibri" w:hAnsi="Calibri"/>
                <w:bCs/>
                <w:sz w:val="20"/>
                <w:szCs w:val="20"/>
              </w:rPr>
              <w:t xml:space="preserve">Communicates all curriculum changes that may affect or require adjustments to operations or processing in a timely way each cycle throughout the year.  </w:t>
            </w:r>
          </w:p>
          <w:p w14:paraId="4767DB29"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764F8FFA" w14:textId="77777777" w:rsidR="00DF458F" w:rsidRPr="00DF458F" w:rsidRDefault="00DF458F" w:rsidP="00DF458F">
            <w:pPr>
              <w:rPr>
                <w:rFonts w:ascii="Calibri" w:hAnsi="Calibri"/>
                <w:sz w:val="20"/>
                <w:szCs w:val="20"/>
              </w:rPr>
            </w:pPr>
            <w:r w:rsidRPr="00DF458F">
              <w:rPr>
                <w:rFonts w:ascii="Calibri" w:hAnsi="Calibri"/>
                <w:sz w:val="20"/>
                <w:szCs w:val="20"/>
              </w:rPr>
              <w:t xml:space="preserve">Supports the institutional initiative to implement a Curriculum Management &amp; Calendar production solution.  Provide functional </w:t>
            </w:r>
            <w:r w:rsidRPr="00DF458F">
              <w:rPr>
                <w:rFonts w:ascii="Calibri" w:hAnsi="Calibri"/>
                <w:sz w:val="20"/>
                <w:szCs w:val="20"/>
              </w:rPr>
              <w:lastRenderedPageBreak/>
              <w:t>leadership for required system enhancements.</w:t>
            </w:r>
          </w:p>
          <w:p w14:paraId="65537316"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4D730A34"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 xml:space="preserve">Manages the maintenance and update of online information (e.g. guides, calendar websites) in accordance with established policies and procedures. </w:t>
            </w:r>
          </w:p>
          <w:p w14:paraId="515B465B"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35A6E641" w14:textId="77777777" w:rsidR="00A76C9B" w:rsidRPr="00DF458F" w:rsidRDefault="00DF458F" w:rsidP="00DF458F">
            <w:pPr>
              <w:rPr>
                <w:rFonts w:ascii="Calibri" w:hAnsi="Calibri"/>
                <w:sz w:val="20"/>
                <w:szCs w:val="20"/>
              </w:rPr>
            </w:pPr>
            <w:r w:rsidRPr="00DF458F">
              <w:rPr>
                <w:rFonts w:ascii="Calibri" w:hAnsi="Calibri"/>
                <w:bCs/>
                <w:sz w:val="20"/>
                <w:szCs w:val="20"/>
              </w:rPr>
              <w:t>Manages the master file database, including new information, tracking changes and versions as well as archiving in accordance with Records Management policies.</w:t>
            </w:r>
          </w:p>
        </w:tc>
      </w:tr>
      <w:tr w:rsidR="00A76C9B" w:rsidRPr="009E3DFB" w14:paraId="34D31B43" w14:textId="77777777" w:rsidTr="00651782">
        <w:tc>
          <w:tcPr>
            <w:tcW w:w="2538" w:type="dxa"/>
            <w:tcBorders>
              <w:top w:val="single" w:sz="4" w:space="0" w:color="auto"/>
              <w:bottom w:val="single" w:sz="4" w:space="0" w:color="auto"/>
              <w:right w:val="single" w:sz="4" w:space="0" w:color="auto"/>
            </w:tcBorders>
            <w:shd w:val="clear" w:color="auto" w:fill="auto"/>
          </w:tcPr>
          <w:p w14:paraId="3BDB243D" w14:textId="77777777" w:rsidR="00DF458F" w:rsidRPr="00D969C3" w:rsidRDefault="00DF458F" w:rsidP="00DF458F">
            <w:pPr>
              <w:pStyle w:val="BodyTextIndent"/>
              <w:tabs>
                <w:tab w:val="left" w:pos="9072"/>
              </w:tabs>
              <w:ind w:right="288"/>
              <w:jc w:val="left"/>
              <w:rPr>
                <w:rFonts w:ascii="Calibri" w:hAnsi="Calibri" w:cs="Times New Roman"/>
                <w:b w:val="0"/>
                <w:bCs w:val="0"/>
                <w:sz w:val="20"/>
                <w:szCs w:val="20"/>
              </w:rPr>
            </w:pPr>
            <w:r w:rsidRPr="00D969C3">
              <w:rPr>
                <w:rFonts w:ascii="Calibri" w:hAnsi="Calibri" w:cs="Times New Roman"/>
                <w:b w:val="0"/>
                <w:bCs w:val="0"/>
                <w:sz w:val="20"/>
                <w:szCs w:val="20"/>
              </w:rPr>
              <w:lastRenderedPageBreak/>
              <w:t>Data and Information management</w:t>
            </w:r>
          </w:p>
          <w:p w14:paraId="610A1585" w14:textId="77777777" w:rsidR="00DF458F" w:rsidRPr="00D969C3" w:rsidRDefault="00DF458F" w:rsidP="00DF458F">
            <w:pPr>
              <w:pStyle w:val="BodyTextIndent"/>
              <w:tabs>
                <w:tab w:val="left" w:pos="9072"/>
              </w:tabs>
              <w:ind w:right="288"/>
              <w:jc w:val="left"/>
              <w:rPr>
                <w:rFonts w:ascii="Calibri" w:hAnsi="Calibri" w:cs="Times New Roman"/>
                <w:b w:val="0"/>
                <w:bCs w:val="0"/>
                <w:sz w:val="20"/>
                <w:szCs w:val="20"/>
              </w:rPr>
            </w:pPr>
            <w:r w:rsidRPr="00D969C3">
              <w:rPr>
                <w:rFonts w:ascii="Calibri" w:hAnsi="Calibri" w:cs="Times New Roman"/>
                <w:b w:val="0"/>
                <w:bCs w:val="0"/>
                <w:sz w:val="20"/>
                <w:szCs w:val="20"/>
              </w:rPr>
              <w:t>30</w:t>
            </w:r>
            <w:r w:rsidRPr="00D969C3">
              <w:rPr>
                <w:rFonts w:ascii="Calibri" w:hAnsi="Calibri" w:cs="Times New Roman"/>
                <w:b w:val="0"/>
                <w:sz w:val="20"/>
                <w:szCs w:val="20"/>
              </w:rPr>
              <w:t>%</w:t>
            </w:r>
            <w:r w:rsidRPr="00D969C3">
              <w:rPr>
                <w:rFonts w:ascii="Calibri" w:hAnsi="Calibri" w:cs="Times New Roman"/>
                <w:b w:val="0"/>
                <w:bCs w:val="0"/>
                <w:sz w:val="20"/>
                <w:szCs w:val="20"/>
              </w:rPr>
              <w:t xml:space="preserve"> </w:t>
            </w:r>
          </w:p>
          <w:p w14:paraId="5AE87598" w14:textId="77777777" w:rsidR="00A76C9B" w:rsidRPr="009E3DFB" w:rsidRDefault="00A76C9B" w:rsidP="00A76C9B">
            <w:pPr>
              <w:rPr>
                <w:rFonts w:ascii="Arial" w:hAnsi="Arial" w:cs="Arial"/>
                <w:sz w:val="20"/>
                <w:szCs w:val="20"/>
              </w:rPr>
            </w:pPr>
          </w:p>
        </w:tc>
        <w:tc>
          <w:tcPr>
            <w:tcW w:w="6318" w:type="dxa"/>
            <w:tcBorders>
              <w:top w:val="single" w:sz="4" w:space="0" w:color="auto"/>
              <w:left w:val="single" w:sz="4" w:space="0" w:color="auto"/>
              <w:bottom w:val="single" w:sz="4" w:space="0" w:color="auto"/>
            </w:tcBorders>
            <w:shd w:val="clear" w:color="auto" w:fill="auto"/>
          </w:tcPr>
          <w:p w14:paraId="22F41FBD"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Manages and approves changes made by the Calendar Editor to the official online academic calendar.</w:t>
            </w:r>
          </w:p>
          <w:p w14:paraId="0A724F22"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5E528B0A"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 xml:space="preserve">Plans and coordinates functional and systematic test plans associated with ongoing maintenance, upgrades, enhancements and bug fixes. </w:t>
            </w:r>
          </w:p>
          <w:p w14:paraId="1FACE79C"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473E1181" w14:textId="77777777" w:rsidR="00DF458F" w:rsidRPr="00DF458F" w:rsidRDefault="00DF458F" w:rsidP="00DF458F">
            <w:pPr>
              <w:rPr>
                <w:rFonts w:ascii="Calibri" w:hAnsi="Calibri"/>
                <w:sz w:val="20"/>
                <w:szCs w:val="20"/>
              </w:rPr>
            </w:pPr>
            <w:r w:rsidRPr="00DF458F">
              <w:rPr>
                <w:rFonts w:ascii="Calibri" w:hAnsi="Calibri"/>
                <w:sz w:val="20"/>
                <w:szCs w:val="20"/>
              </w:rPr>
              <w:t xml:space="preserve">Manages Web forums (i.e. </w:t>
            </w:r>
            <w:r w:rsidR="00535A63" w:rsidRPr="00DF458F">
              <w:rPr>
                <w:rFonts w:ascii="Calibri" w:hAnsi="Calibri"/>
                <w:sz w:val="20"/>
                <w:szCs w:val="20"/>
              </w:rPr>
              <w:t>SharePoint</w:t>
            </w:r>
            <w:r w:rsidRPr="00DF458F">
              <w:rPr>
                <w:rFonts w:ascii="Calibri" w:hAnsi="Calibri"/>
                <w:sz w:val="20"/>
                <w:szCs w:val="20"/>
              </w:rPr>
              <w:t>, Connect).</w:t>
            </w:r>
          </w:p>
          <w:p w14:paraId="333266CB" w14:textId="77777777" w:rsidR="00DF458F" w:rsidRPr="00DF458F" w:rsidRDefault="00DF458F" w:rsidP="00DF458F">
            <w:pPr>
              <w:rPr>
                <w:rFonts w:ascii="Calibri" w:hAnsi="Calibri"/>
                <w:sz w:val="20"/>
                <w:szCs w:val="20"/>
              </w:rPr>
            </w:pPr>
          </w:p>
          <w:p w14:paraId="2F9E46EC" w14:textId="77777777" w:rsidR="00DF458F" w:rsidRPr="00DF458F" w:rsidRDefault="00DF458F" w:rsidP="00DF458F">
            <w:pPr>
              <w:rPr>
                <w:rFonts w:ascii="Calibri" w:hAnsi="Calibri"/>
                <w:b/>
                <w:bCs/>
                <w:sz w:val="20"/>
                <w:szCs w:val="20"/>
              </w:rPr>
            </w:pPr>
            <w:r w:rsidRPr="00DF458F">
              <w:rPr>
                <w:rFonts w:ascii="Calibri" w:hAnsi="Calibri"/>
                <w:bCs/>
                <w:sz w:val="20"/>
                <w:szCs w:val="20"/>
              </w:rPr>
              <w:t>Manages the implementation of standardized</w:t>
            </w:r>
            <w:r w:rsidRPr="00DF458F">
              <w:rPr>
                <w:rFonts w:ascii="Calibri" w:hAnsi="Calibri"/>
                <w:b/>
                <w:bCs/>
                <w:sz w:val="20"/>
                <w:szCs w:val="20"/>
              </w:rPr>
              <w:t xml:space="preserve"> </w:t>
            </w:r>
            <w:r w:rsidRPr="00DF458F">
              <w:rPr>
                <w:rFonts w:ascii="Calibri" w:hAnsi="Calibri"/>
                <w:bCs/>
                <w:sz w:val="20"/>
                <w:szCs w:val="20"/>
              </w:rPr>
              <w:t>language, organization and administrative styles within the calendar.</w:t>
            </w:r>
            <w:r w:rsidRPr="00DF458F">
              <w:rPr>
                <w:rFonts w:ascii="Calibri" w:hAnsi="Calibri"/>
                <w:b/>
                <w:bCs/>
                <w:sz w:val="20"/>
                <w:szCs w:val="20"/>
              </w:rPr>
              <w:t xml:space="preserve"> </w:t>
            </w:r>
          </w:p>
          <w:p w14:paraId="6613A905"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1B480421" w14:textId="77777777" w:rsidR="00A76C9B" w:rsidRPr="00DF458F" w:rsidRDefault="00DF458F" w:rsidP="00DF458F">
            <w:pPr>
              <w:pStyle w:val="BodyTextIndent"/>
              <w:tabs>
                <w:tab w:val="left" w:pos="9072"/>
              </w:tabs>
              <w:ind w:right="288"/>
              <w:jc w:val="left"/>
              <w:rPr>
                <w:rFonts w:ascii="Calibri" w:hAnsi="Calibri" w:cs="Times New Roman"/>
                <w:b w:val="0"/>
                <w:bCs w:val="0"/>
              </w:rPr>
            </w:pPr>
            <w:r w:rsidRPr="00DF458F">
              <w:rPr>
                <w:rFonts w:ascii="Calibri" w:hAnsi="Calibri" w:cs="Times New Roman"/>
                <w:b w:val="0"/>
                <w:bCs w:val="0"/>
                <w:sz w:val="20"/>
                <w:szCs w:val="20"/>
              </w:rPr>
              <w:t>Develops and maintains editorial consistency across relevant processes, resources, guides and documents.</w:t>
            </w:r>
          </w:p>
        </w:tc>
      </w:tr>
      <w:tr w:rsidR="00A76C9B" w:rsidRPr="009E3DFB" w14:paraId="13848471" w14:textId="77777777" w:rsidTr="00651782">
        <w:tc>
          <w:tcPr>
            <w:tcW w:w="2538" w:type="dxa"/>
            <w:tcBorders>
              <w:top w:val="single" w:sz="4" w:space="0" w:color="auto"/>
              <w:right w:val="single" w:sz="4" w:space="0" w:color="auto"/>
            </w:tcBorders>
            <w:shd w:val="clear" w:color="auto" w:fill="auto"/>
          </w:tcPr>
          <w:p w14:paraId="21C9B8CD" w14:textId="77777777" w:rsidR="00DF458F" w:rsidRPr="00D969C3" w:rsidRDefault="00DF458F" w:rsidP="00DF458F">
            <w:pPr>
              <w:pStyle w:val="BodyTextIndent"/>
              <w:tabs>
                <w:tab w:val="left" w:pos="9072"/>
              </w:tabs>
              <w:ind w:right="288"/>
              <w:jc w:val="left"/>
              <w:rPr>
                <w:rFonts w:ascii="Calibri" w:hAnsi="Calibri" w:cs="Times New Roman"/>
                <w:b w:val="0"/>
                <w:bCs w:val="0"/>
              </w:rPr>
            </w:pPr>
            <w:r w:rsidRPr="00D969C3">
              <w:rPr>
                <w:rFonts w:ascii="Calibri" w:hAnsi="Calibri" w:cs="Times New Roman"/>
                <w:b w:val="0"/>
                <w:bCs w:val="0"/>
              </w:rPr>
              <w:t>Leadership and strategic management of human resources and operational requirements</w:t>
            </w:r>
          </w:p>
          <w:p w14:paraId="52C353AF" w14:textId="77777777" w:rsidR="00A76C9B" w:rsidRPr="00DF458F" w:rsidRDefault="00DF458F" w:rsidP="00DF458F">
            <w:pPr>
              <w:rPr>
                <w:rFonts w:ascii="Arial" w:hAnsi="Arial" w:cs="Arial"/>
                <w:sz w:val="20"/>
                <w:szCs w:val="20"/>
              </w:rPr>
            </w:pPr>
            <w:r w:rsidRPr="00DF458F">
              <w:rPr>
                <w:rFonts w:ascii="Calibri" w:hAnsi="Calibri"/>
                <w:bCs/>
                <w:sz w:val="20"/>
                <w:szCs w:val="20"/>
              </w:rPr>
              <w:t>20</w:t>
            </w:r>
            <w:r w:rsidRPr="00DF458F">
              <w:rPr>
                <w:rFonts w:ascii="Calibri" w:hAnsi="Calibri"/>
                <w:sz w:val="20"/>
                <w:szCs w:val="20"/>
              </w:rPr>
              <w:t>%</w:t>
            </w:r>
            <w:r w:rsidRPr="00DF458F">
              <w:rPr>
                <w:rFonts w:ascii="Calibri" w:hAnsi="Calibri"/>
                <w:bCs/>
                <w:sz w:val="20"/>
                <w:szCs w:val="20"/>
              </w:rPr>
              <w:t xml:space="preserve"> </w:t>
            </w:r>
          </w:p>
        </w:tc>
        <w:tc>
          <w:tcPr>
            <w:tcW w:w="6318" w:type="dxa"/>
            <w:tcBorders>
              <w:top w:val="single" w:sz="4" w:space="0" w:color="auto"/>
              <w:left w:val="single" w:sz="4" w:space="0" w:color="auto"/>
              <w:bottom w:val="single" w:sz="18" w:space="0" w:color="E36C0A" w:themeColor="accent6" w:themeShade="BF"/>
            </w:tcBorders>
            <w:shd w:val="clear" w:color="auto" w:fill="auto"/>
          </w:tcPr>
          <w:p w14:paraId="2A6E37CB"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Represents the unit at OREG Leadership meetings, Student Affairs Council and other related events and activities to achieve aligned institutional and operational goals.</w:t>
            </w:r>
          </w:p>
          <w:p w14:paraId="615F2AB4"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1AF631EE"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Develops and provides regular and accessible training for faculty and administrative staff, resources and/or tools and ensures a positive, collaborative and supportive work environment.</w:t>
            </w:r>
          </w:p>
          <w:p w14:paraId="71E63892"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28153353"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 xml:space="preserve">Supervises PEA and CUPE staff, including the setting of work priorities, standards and goals while promoting development and training of employees in the creation of effective work teams.  </w:t>
            </w:r>
          </w:p>
          <w:p w14:paraId="505EBB69"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5D489731"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 xml:space="preserve">Lead, motivate, supervise, train and support staff in an area that requires high levels of customer service, complexity and detail.  </w:t>
            </w:r>
          </w:p>
          <w:p w14:paraId="44DD09CB"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6ECD8629"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r w:rsidRPr="00DF458F">
              <w:rPr>
                <w:rFonts w:ascii="Calibri" w:hAnsi="Calibri" w:cs="Times New Roman"/>
                <w:b w:val="0"/>
                <w:bCs w:val="0"/>
                <w:sz w:val="20"/>
                <w:szCs w:val="20"/>
              </w:rPr>
              <w:t>Provides leadership and guidance through continued change, adjusting regularly in response to consultation with the leadership of the university in addition to feedback from staff and students.</w:t>
            </w:r>
          </w:p>
          <w:p w14:paraId="5DA0D5CB" w14:textId="77777777" w:rsidR="00DF458F" w:rsidRPr="00DF458F" w:rsidRDefault="00DF458F" w:rsidP="00DF458F">
            <w:pPr>
              <w:pStyle w:val="BodyTextIndent"/>
              <w:tabs>
                <w:tab w:val="left" w:pos="9072"/>
              </w:tabs>
              <w:ind w:right="288"/>
              <w:jc w:val="left"/>
              <w:rPr>
                <w:rFonts w:ascii="Calibri" w:hAnsi="Calibri" w:cs="Times New Roman"/>
                <w:b w:val="0"/>
                <w:bCs w:val="0"/>
                <w:sz w:val="20"/>
                <w:szCs w:val="20"/>
              </w:rPr>
            </w:pPr>
          </w:p>
          <w:p w14:paraId="7E36B32B" w14:textId="77777777" w:rsidR="00A76C9B" w:rsidRPr="00DF458F" w:rsidRDefault="00DF458F" w:rsidP="00DF458F">
            <w:pPr>
              <w:rPr>
                <w:rFonts w:ascii="Arial" w:hAnsi="Arial" w:cs="Arial"/>
                <w:sz w:val="20"/>
                <w:szCs w:val="20"/>
              </w:rPr>
            </w:pPr>
            <w:r w:rsidRPr="00DF458F">
              <w:rPr>
                <w:rFonts w:ascii="Calibri" w:hAnsi="Calibri"/>
                <w:bCs/>
                <w:sz w:val="20"/>
                <w:szCs w:val="20"/>
              </w:rPr>
              <w:t>Manage human resources for the unit in order to ensure adequate operational coverage during heavy workload periods as well as approve annual vacation schedules.</w:t>
            </w:r>
          </w:p>
        </w:tc>
      </w:tr>
    </w:tbl>
    <w:p w14:paraId="5DD9946D" w14:textId="77777777" w:rsidR="0069315E" w:rsidRDefault="0069315E" w:rsidP="00A76C9B">
      <w:pPr>
        <w:rPr>
          <w:rFonts w:ascii="Arial" w:hAnsi="Arial" w:cs="Arial"/>
          <w:sz w:val="20"/>
          <w:szCs w:val="20"/>
        </w:rPr>
      </w:pPr>
    </w:p>
    <w:tbl>
      <w:tblPr>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0A0" w:firstRow="1" w:lastRow="0" w:firstColumn="1" w:lastColumn="0" w:noHBand="0" w:noVBand="0"/>
      </w:tblPr>
      <w:tblGrid>
        <w:gridCol w:w="8856"/>
      </w:tblGrid>
      <w:tr w:rsidR="00A76C9B" w:rsidRPr="009E3DFB" w14:paraId="0BD2D2EF" w14:textId="77777777" w:rsidTr="0061461E">
        <w:trPr>
          <w:trHeight w:val="276"/>
        </w:trPr>
        <w:tc>
          <w:tcPr>
            <w:tcW w:w="8856" w:type="dxa"/>
            <w:tcBorders>
              <w:bottom w:val="nil"/>
            </w:tcBorders>
            <w:shd w:val="clear" w:color="auto" w:fill="E6E6E6"/>
          </w:tcPr>
          <w:p w14:paraId="7F200E55" w14:textId="77777777" w:rsidR="00A76C9B" w:rsidRPr="009E3DFB" w:rsidRDefault="00A76C9B" w:rsidP="00A76C9B">
            <w:pPr>
              <w:rPr>
                <w:rFonts w:ascii="Arial" w:hAnsi="Arial" w:cs="Arial"/>
                <w:b/>
                <w:sz w:val="22"/>
                <w:szCs w:val="22"/>
              </w:rPr>
            </w:pPr>
            <w:r w:rsidRPr="009E3DFB">
              <w:rPr>
                <w:rFonts w:ascii="Arial" w:hAnsi="Arial" w:cs="Arial"/>
                <w:b/>
                <w:sz w:val="22"/>
                <w:szCs w:val="22"/>
              </w:rPr>
              <w:t>4</w:t>
            </w:r>
            <w:r w:rsidRPr="009E3DFB">
              <w:rPr>
                <w:rFonts w:ascii="Arial" w:hAnsi="Arial" w:cs="Arial"/>
                <w:b/>
                <w:sz w:val="22"/>
                <w:szCs w:val="22"/>
                <w:shd w:val="clear" w:color="auto" w:fill="E6E6E6"/>
              </w:rPr>
              <w:t>.   Classification Factors:</w:t>
            </w:r>
          </w:p>
        </w:tc>
      </w:tr>
      <w:tr w:rsidR="00A76C9B" w:rsidRPr="009E3DFB" w14:paraId="65A71D00" w14:textId="77777777" w:rsidTr="0061461E">
        <w:tc>
          <w:tcPr>
            <w:tcW w:w="8856" w:type="dxa"/>
            <w:tcBorders>
              <w:top w:val="nil"/>
              <w:bottom w:val="single" w:sz="4" w:space="0" w:color="auto"/>
            </w:tcBorders>
            <w:shd w:val="clear" w:color="auto" w:fill="auto"/>
          </w:tcPr>
          <w:p w14:paraId="31F2DEA3" w14:textId="77777777" w:rsidR="004462D7" w:rsidRDefault="004462D7" w:rsidP="009B646D">
            <w:pPr>
              <w:rPr>
                <w:rFonts w:ascii="Arial" w:hAnsi="Arial" w:cs="Arial"/>
                <w:b/>
                <w:sz w:val="20"/>
                <w:szCs w:val="20"/>
              </w:rPr>
            </w:pPr>
          </w:p>
          <w:p w14:paraId="4D53D573" w14:textId="77777777" w:rsidR="00097959" w:rsidRDefault="00294E0A" w:rsidP="009B646D">
            <w:pPr>
              <w:rPr>
                <w:rFonts w:ascii="Arial" w:hAnsi="Arial" w:cs="Arial"/>
                <w:b/>
                <w:sz w:val="20"/>
                <w:szCs w:val="20"/>
              </w:rPr>
            </w:pPr>
            <w:r w:rsidRPr="009B646D">
              <w:rPr>
                <w:rFonts w:ascii="Arial" w:hAnsi="Arial" w:cs="Arial"/>
                <w:b/>
                <w:sz w:val="20"/>
                <w:szCs w:val="20"/>
              </w:rPr>
              <w:t>Problem-Solving</w:t>
            </w:r>
            <w:r w:rsidR="00097959">
              <w:rPr>
                <w:rFonts w:ascii="Arial" w:hAnsi="Arial" w:cs="Arial"/>
                <w:b/>
                <w:sz w:val="20"/>
                <w:szCs w:val="20"/>
              </w:rPr>
              <w:t>:</w:t>
            </w:r>
          </w:p>
          <w:p w14:paraId="24308C7F" w14:textId="77777777" w:rsidR="00DF458F" w:rsidRPr="00726D46" w:rsidRDefault="00DF458F" w:rsidP="00DF458F">
            <w:pPr>
              <w:numPr>
                <w:ilvl w:val="0"/>
                <w:numId w:val="11"/>
              </w:numPr>
              <w:rPr>
                <w:rFonts w:ascii="Calibri" w:hAnsi="Calibri"/>
                <w:sz w:val="20"/>
                <w:szCs w:val="20"/>
              </w:rPr>
            </w:pPr>
            <w:r w:rsidRPr="00726D46">
              <w:rPr>
                <w:rFonts w:ascii="Calibri" w:hAnsi="Calibri"/>
                <w:sz w:val="20"/>
                <w:szCs w:val="20"/>
              </w:rPr>
              <w:t>Requires in-depth analysis of complex and variable problems as well as critical thinking and judgement to identify solutions that are often difficult to find. Solutions require the ability to navigate large volumes of detailed and versioned information, evaluation and adaptation of procedures, policies and precedents. Investigation and innovative thinking are required to develop new methods, efficient and effective processes and procedures.</w:t>
            </w:r>
          </w:p>
          <w:p w14:paraId="758AB74E" w14:textId="77777777" w:rsidR="00726D46" w:rsidRPr="00726D46" w:rsidRDefault="00DF458F" w:rsidP="00726D46">
            <w:pPr>
              <w:numPr>
                <w:ilvl w:val="0"/>
                <w:numId w:val="11"/>
              </w:numPr>
              <w:rPr>
                <w:rFonts w:ascii="Calibri" w:hAnsi="Calibri"/>
                <w:sz w:val="22"/>
                <w:szCs w:val="22"/>
              </w:rPr>
            </w:pPr>
            <w:r w:rsidRPr="00726D46">
              <w:rPr>
                <w:rFonts w:ascii="Calibri" w:hAnsi="Calibri"/>
                <w:sz w:val="20"/>
                <w:szCs w:val="20"/>
              </w:rPr>
              <w:t>Problems and solutions take into account the wide variety of stakeholders and complex frameworks (including strict policies and other requirements) to ensure competing factors are considered, managed and communicated effectively.</w:t>
            </w:r>
            <w:r w:rsidRPr="0068440E">
              <w:rPr>
                <w:rFonts w:ascii="Calibri" w:hAnsi="Calibri"/>
                <w:sz w:val="22"/>
                <w:szCs w:val="22"/>
              </w:rPr>
              <w:t xml:space="preserve"> </w:t>
            </w:r>
          </w:p>
        </w:tc>
      </w:tr>
      <w:tr w:rsidR="009B646D" w:rsidRPr="009E3DFB" w14:paraId="0806BF49" w14:textId="77777777" w:rsidTr="0061461E">
        <w:tc>
          <w:tcPr>
            <w:tcW w:w="8856" w:type="dxa"/>
            <w:tcBorders>
              <w:top w:val="single" w:sz="4" w:space="0" w:color="auto"/>
              <w:bottom w:val="single" w:sz="4" w:space="0" w:color="auto"/>
            </w:tcBorders>
            <w:shd w:val="clear" w:color="auto" w:fill="auto"/>
          </w:tcPr>
          <w:p w14:paraId="571077F8" w14:textId="77777777" w:rsidR="009B646D" w:rsidRDefault="009B646D" w:rsidP="009B646D">
            <w:pPr>
              <w:rPr>
                <w:rFonts w:ascii="Arial" w:hAnsi="Arial" w:cs="Arial"/>
                <w:sz w:val="20"/>
                <w:szCs w:val="20"/>
              </w:rPr>
            </w:pPr>
            <w:r>
              <w:rPr>
                <w:rFonts w:ascii="Arial" w:hAnsi="Arial" w:cs="Arial"/>
                <w:b/>
                <w:sz w:val="20"/>
                <w:szCs w:val="20"/>
              </w:rPr>
              <w:t xml:space="preserve">Responsibility for Financial </w:t>
            </w:r>
            <w:r w:rsidRPr="009B646D">
              <w:rPr>
                <w:rFonts w:ascii="Arial" w:hAnsi="Arial" w:cs="Arial"/>
                <w:b/>
                <w:sz w:val="20"/>
                <w:szCs w:val="20"/>
              </w:rPr>
              <w:t xml:space="preserve">&amp; Material resources: </w:t>
            </w:r>
          </w:p>
          <w:p w14:paraId="2DD73F4F" w14:textId="77777777" w:rsidR="00DF458F" w:rsidRPr="00726D46" w:rsidRDefault="00DF458F" w:rsidP="00DF458F">
            <w:pPr>
              <w:numPr>
                <w:ilvl w:val="0"/>
                <w:numId w:val="11"/>
              </w:numPr>
              <w:rPr>
                <w:rFonts w:ascii="Calibri" w:hAnsi="Calibri"/>
                <w:sz w:val="20"/>
                <w:szCs w:val="20"/>
              </w:rPr>
            </w:pPr>
            <w:r w:rsidRPr="00726D46">
              <w:rPr>
                <w:rFonts w:ascii="Calibri" w:hAnsi="Calibri"/>
                <w:sz w:val="20"/>
                <w:szCs w:val="20"/>
              </w:rPr>
              <w:t xml:space="preserve">Administers and maintains the curriculum and calendar operating budget of $200,000. Holds signing authority of $10,000. </w:t>
            </w:r>
          </w:p>
          <w:p w14:paraId="35A487DA" w14:textId="77777777" w:rsidR="00DF458F" w:rsidRPr="00726D46" w:rsidRDefault="00DF458F" w:rsidP="00DF458F">
            <w:pPr>
              <w:numPr>
                <w:ilvl w:val="0"/>
                <w:numId w:val="11"/>
              </w:numPr>
              <w:rPr>
                <w:rFonts w:ascii="Calibri" w:hAnsi="Calibri"/>
                <w:sz w:val="20"/>
                <w:szCs w:val="20"/>
              </w:rPr>
            </w:pPr>
            <w:r w:rsidRPr="00726D46">
              <w:rPr>
                <w:rFonts w:ascii="Calibri" w:hAnsi="Calibri"/>
                <w:sz w:val="20"/>
                <w:szCs w:val="20"/>
              </w:rPr>
              <w:t>May recommend CUPE and PEA appointments, both temporary and regular.</w:t>
            </w:r>
          </w:p>
          <w:p w14:paraId="03FC7AFC" w14:textId="77777777" w:rsidR="009B646D" w:rsidRPr="00DF458F" w:rsidRDefault="00DF458F" w:rsidP="009B646D">
            <w:pPr>
              <w:numPr>
                <w:ilvl w:val="0"/>
                <w:numId w:val="11"/>
              </w:numPr>
              <w:rPr>
                <w:rFonts w:ascii="Calibri" w:hAnsi="Calibri"/>
                <w:sz w:val="22"/>
                <w:szCs w:val="22"/>
              </w:rPr>
            </w:pPr>
            <w:r w:rsidRPr="00726D46">
              <w:rPr>
                <w:rFonts w:ascii="Calibri" w:hAnsi="Calibri"/>
                <w:sz w:val="20"/>
                <w:szCs w:val="20"/>
              </w:rPr>
              <w:t>Shared responsibility (with Associate Registrar) for the master calendar database and calendar publications</w:t>
            </w:r>
          </w:p>
        </w:tc>
      </w:tr>
      <w:tr w:rsidR="00A76C9B" w:rsidRPr="009E3DFB" w14:paraId="2F65F5C1" w14:textId="77777777" w:rsidTr="0061461E">
        <w:tc>
          <w:tcPr>
            <w:tcW w:w="8856" w:type="dxa"/>
            <w:tcBorders>
              <w:top w:val="single" w:sz="4" w:space="0" w:color="auto"/>
              <w:bottom w:val="single" w:sz="4" w:space="0" w:color="auto"/>
            </w:tcBorders>
            <w:shd w:val="clear" w:color="auto" w:fill="auto"/>
          </w:tcPr>
          <w:p w14:paraId="05E50DAB" w14:textId="77777777" w:rsidR="009B646D" w:rsidRPr="009B646D" w:rsidRDefault="009B646D" w:rsidP="009B646D">
            <w:pPr>
              <w:rPr>
                <w:rFonts w:ascii="Arial" w:hAnsi="Arial" w:cs="Arial"/>
                <w:b/>
                <w:sz w:val="20"/>
                <w:szCs w:val="20"/>
              </w:rPr>
            </w:pPr>
            <w:r w:rsidRPr="009B646D">
              <w:rPr>
                <w:rFonts w:ascii="Arial" w:hAnsi="Arial" w:cs="Arial"/>
                <w:b/>
                <w:sz w:val="20"/>
                <w:szCs w:val="20"/>
              </w:rPr>
              <w:t>Responsibility for Human Resources:</w:t>
            </w:r>
          </w:p>
          <w:p w14:paraId="3F4A0ACD" w14:textId="77777777" w:rsidR="00DF458F" w:rsidRPr="00726D46" w:rsidRDefault="00DF458F" w:rsidP="00DF458F">
            <w:pPr>
              <w:numPr>
                <w:ilvl w:val="0"/>
                <w:numId w:val="12"/>
              </w:numPr>
              <w:rPr>
                <w:rFonts w:ascii="Calibri" w:hAnsi="Calibri"/>
                <w:sz w:val="20"/>
                <w:szCs w:val="20"/>
              </w:rPr>
            </w:pPr>
            <w:r w:rsidRPr="00726D46">
              <w:rPr>
                <w:rFonts w:ascii="Calibri" w:hAnsi="Calibri"/>
                <w:sz w:val="20"/>
                <w:szCs w:val="20"/>
              </w:rPr>
              <w:t xml:space="preserve">Receives supervision from the Associate Registrar. </w:t>
            </w:r>
          </w:p>
          <w:p w14:paraId="168D1E5C" w14:textId="77777777" w:rsidR="00DF458F" w:rsidRPr="00726D46" w:rsidRDefault="00DF458F" w:rsidP="00DF458F">
            <w:pPr>
              <w:numPr>
                <w:ilvl w:val="0"/>
                <w:numId w:val="11"/>
              </w:numPr>
              <w:rPr>
                <w:rFonts w:ascii="Calibri" w:hAnsi="Calibri"/>
                <w:sz w:val="20"/>
                <w:szCs w:val="20"/>
              </w:rPr>
            </w:pPr>
            <w:r w:rsidRPr="00726D46">
              <w:rPr>
                <w:rFonts w:ascii="Calibri" w:hAnsi="Calibri"/>
                <w:sz w:val="20"/>
                <w:szCs w:val="20"/>
              </w:rPr>
              <w:t xml:space="preserve">Provides formal, direct supervision to 1 PEA employees, 1 CUPE employee, and on occasion, to work study/coop students. Provides informal direction and coordination to other staff on related projects. </w:t>
            </w:r>
          </w:p>
          <w:p w14:paraId="3ED278A1" w14:textId="77777777" w:rsidR="00DF458F" w:rsidRPr="00726D46" w:rsidRDefault="00DF458F" w:rsidP="00DF458F">
            <w:pPr>
              <w:numPr>
                <w:ilvl w:val="0"/>
                <w:numId w:val="11"/>
              </w:numPr>
              <w:rPr>
                <w:rFonts w:ascii="Calibri" w:hAnsi="Calibri"/>
                <w:sz w:val="20"/>
                <w:szCs w:val="20"/>
              </w:rPr>
            </w:pPr>
            <w:r w:rsidRPr="00726D46">
              <w:rPr>
                <w:rFonts w:ascii="Calibri" w:hAnsi="Calibri"/>
                <w:sz w:val="20"/>
                <w:szCs w:val="20"/>
              </w:rPr>
              <w:t xml:space="preserve">Provides ongoing procedural advice to faculty and staff on curriculum, calendaring and other areas of responsibility. </w:t>
            </w:r>
          </w:p>
          <w:p w14:paraId="2B6A7DB9" w14:textId="77777777" w:rsidR="001F72A5" w:rsidRPr="00DF458F" w:rsidRDefault="00DF458F" w:rsidP="00DF458F">
            <w:pPr>
              <w:numPr>
                <w:ilvl w:val="0"/>
                <w:numId w:val="11"/>
              </w:numPr>
              <w:rPr>
                <w:rFonts w:ascii="Calibri" w:hAnsi="Calibri"/>
                <w:sz w:val="22"/>
                <w:szCs w:val="22"/>
              </w:rPr>
            </w:pPr>
            <w:r w:rsidRPr="00726D46">
              <w:rPr>
                <w:rFonts w:ascii="Calibri" w:hAnsi="Calibri"/>
                <w:sz w:val="20"/>
                <w:szCs w:val="20"/>
              </w:rPr>
              <w:t>May act as a back-up Manager for other OREG units as required.</w:t>
            </w:r>
            <w:r w:rsidRPr="0068440E">
              <w:rPr>
                <w:rFonts w:ascii="Calibri" w:hAnsi="Calibri"/>
                <w:sz w:val="22"/>
                <w:szCs w:val="22"/>
              </w:rPr>
              <w:t xml:space="preserve">  </w:t>
            </w:r>
          </w:p>
        </w:tc>
      </w:tr>
      <w:tr w:rsidR="00A76C9B" w:rsidRPr="009E3DFB" w14:paraId="3A92128A" w14:textId="77777777" w:rsidTr="0061461E">
        <w:trPr>
          <w:trHeight w:val="450"/>
        </w:trPr>
        <w:tc>
          <w:tcPr>
            <w:tcW w:w="8856" w:type="dxa"/>
            <w:tcBorders>
              <w:top w:val="single" w:sz="4" w:space="0" w:color="auto"/>
              <w:bottom w:val="single" w:sz="4" w:space="0" w:color="auto"/>
            </w:tcBorders>
            <w:shd w:val="clear" w:color="auto" w:fill="auto"/>
          </w:tcPr>
          <w:p w14:paraId="7591B4E4" w14:textId="77777777" w:rsidR="00ED004C" w:rsidRPr="00ED004C" w:rsidRDefault="00ED004C" w:rsidP="00ED004C">
            <w:pPr>
              <w:rPr>
                <w:rFonts w:ascii="Arial" w:hAnsi="Arial" w:cs="Arial"/>
                <w:b/>
                <w:sz w:val="20"/>
                <w:szCs w:val="20"/>
              </w:rPr>
            </w:pPr>
            <w:r w:rsidRPr="00ED004C">
              <w:rPr>
                <w:rFonts w:ascii="Arial" w:hAnsi="Arial" w:cs="Arial"/>
                <w:b/>
                <w:sz w:val="20"/>
                <w:szCs w:val="20"/>
              </w:rPr>
              <w:t xml:space="preserve">Impact of Decisions and Actions:  </w:t>
            </w:r>
          </w:p>
          <w:p w14:paraId="71D58F7A" w14:textId="77777777" w:rsidR="00E063DC" w:rsidRPr="00E063DC" w:rsidRDefault="00E063DC" w:rsidP="00E063DC">
            <w:pPr>
              <w:numPr>
                <w:ilvl w:val="0"/>
                <w:numId w:val="13"/>
              </w:numPr>
              <w:rPr>
                <w:rFonts w:ascii="Calibri" w:hAnsi="Calibri"/>
                <w:sz w:val="20"/>
                <w:szCs w:val="20"/>
              </w:rPr>
            </w:pPr>
            <w:r w:rsidRPr="00E063DC">
              <w:rPr>
                <w:rFonts w:ascii="Calibri" w:hAnsi="Calibri"/>
                <w:sz w:val="20"/>
                <w:szCs w:val="20"/>
              </w:rPr>
              <w:t xml:space="preserve">Manage workload, projects, to ensure efficient and effective operations and successful achievement of service expectations.  </w:t>
            </w:r>
          </w:p>
          <w:p w14:paraId="28EE36E1" w14:textId="77777777" w:rsidR="00E063DC" w:rsidRPr="00E063DC" w:rsidRDefault="00E063DC" w:rsidP="00E063DC">
            <w:pPr>
              <w:numPr>
                <w:ilvl w:val="0"/>
                <w:numId w:val="13"/>
              </w:numPr>
              <w:rPr>
                <w:rFonts w:ascii="Calibri" w:hAnsi="Calibri"/>
                <w:sz w:val="20"/>
                <w:szCs w:val="20"/>
              </w:rPr>
            </w:pPr>
            <w:r w:rsidRPr="00E063DC">
              <w:rPr>
                <w:rFonts w:ascii="Calibri" w:hAnsi="Calibri"/>
                <w:sz w:val="20"/>
                <w:szCs w:val="20"/>
              </w:rPr>
              <w:t xml:space="preserve">Careful and detailed attention is required to organize, manage and maintain large volumes of detailed information through various approval requirements in accordance with restricted dates and timelines as well as regulatory and policy requirements to produce an accurate academic calendar. </w:t>
            </w:r>
          </w:p>
          <w:p w14:paraId="55BC1D72" w14:textId="77777777" w:rsidR="00E063DC" w:rsidRPr="00E063DC" w:rsidRDefault="00E063DC" w:rsidP="00E063DC">
            <w:pPr>
              <w:widowControl w:val="0"/>
              <w:numPr>
                <w:ilvl w:val="0"/>
                <w:numId w:val="13"/>
              </w:numPr>
              <w:autoSpaceDE w:val="0"/>
              <w:autoSpaceDN w:val="0"/>
              <w:outlineLvl w:val="0"/>
              <w:rPr>
                <w:rFonts w:ascii="Calibri" w:hAnsi="Calibri"/>
                <w:sz w:val="20"/>
                <w:szCs w:val="20"/>
                <w:lang w:val="en-CA"/>
              </w:rPr>
            </w:pPr>
            <w:r w:rsidRPr="00E063DC">
              <w:rPr>
                <w:rFonts w:ascii="Calibri" w:hAnsi="Calibri"/>
                <w:sz w:val="20"/>
                <w:szCs w:val="20"/>
                <w:lang w:val="en-CA"/>
              </w:rPr>
              <w:t xml:space="preserve">Advises on related University policies and their interpretations, provides accurate information, advice and training. </w:t>
            </w:r>
          </w:p>
          <w:p w14:paraId="2CC271BC" w14:textId="77777777" w:rsidR="00ED004C" w:rsidRPr="00E063DC" w:rsidRDefault="00E063DC" w:rsidP="00ED004C">
            <w:pPr>
              <w:widowControl w:val="0"/>
              <w:numPr>
                <w:ilvl w:val="0"/>
                <w:numId w:val="13"/>
              </w:numPr>
              <w:autoSpaceDE w:val="0"/>
              <w:autoSpaceDN w:val="0"/>
              <w:outlineLvl w:val="0"/>
              <w:rPr>
                <w:rFonts w:ascii="Calibri" w:hAnsi="Calibri"/>
                <w:sz w:val="22"/>
                <w:szCs w:val="22"/>
                <w:lang w:val="en-CA"/>
              </w:rPr>
            </w:pPr>
            <w:r w:rsidRPr="00E063DC">
              <w:rPr>
                <w:rFonts w:ascii="Calibri" w:hAnsi="Calibri"/>
                <w:sz w:val="20"/>
                <w:szCs w:val="20"/>
                <w:lang w:val="en-CA"/>
              </w:rPr>
              <w:t>Change management activities in support of changing technology and the post-secondary environment.</w:t>
            </w:r>
            <w:r w:rsidRPr="00E063DC">
              <w:rPr>
                <w:rFonts w:ascii="Calibri" w:hAnsi="Calibri"/>
                <w:sz w:val="22"/>
                <w:szCs w:val="22"/>
                <w:lang w:val="en-CA"/>
              </w:rPr>
              <w:t xml:space="preserve"> </w:t>
            </w:r>
          </w:p>
        </w:tc>
      </w:tr>
      <w:tr w:rsidR="009B646D" w:rsidRPr="009E3DFB" w14:paraId="0FD624F8" w14:textId="77777777" w:rsidTr="0061461E">
        <w:trPr>
          <w:trHeight w:val="450"/>
        </w:trPr>
        <w:tc>
          <w:tcPr>
            <w:tcW w:w="8856" w:type="dxa"/>
            <w:tcBorders>
              <w:top w:val="single" w:sz="4" w:space="0" w:color="auto"/>
            </w:tcBorders>
            <w:shd w:val="clear" w:color="auto" w:fill="auto"/>
          </w:tcPr>
          <w:p w14:paraId="10DDF86D" w14:textId="77777777" w:rsidR="009B646D" w:rsidRDefault="00ED004C" w:rsidP="006658CA">
            <w:pPr>
              <w:rPr>
                <w:rFonts w:ascii="Arial" w:hAnsi="Arial" w:cs="Arial"/>
                <w:sz w:val="20"/>
                <w:szCs w:val="20"/>
              </w:rPr>
            </w:pPr>
            <w:r w:rsidRPr="00ED004C">
              <w:rPr>
                <w:rFonts w:ascii="Arial" w:hAnsi="Arial" w:cs="Arial"/>
                <w:b/>
                <w:sz w:val="20"/>
                <w:szCs w:val="20"/>
              </w:rPr>
              <w:t>Independence</w:t>
            </w:r>
            <w:r>
              <w:rPr>
                <w:rFonts w:ascii="Arial" w:hAnsi="Arial" w:cs="Arial"/>
                <w:sz w:val="20"/>
                <w:szCs w:val="20"/>
              </w:rPr>
              <w:t>:</w:t>
            </w:r>
          </w:p>
          <w:p w14:paraId="2E901B3B" w14:textId="77777777" w:rsidR="00E063DC" w:rsidRPr="00726D46" w:rsidRDefault="00E063DC" w:rsidP="00E063DC">
            <w:pPr>
              <w:numPr>
                <w:ilvl w:val="0"/>
                <w:numId w:val="11"/>
              </w:numPr>
              <w:rPr>
                <w:rFonts w:ascii="Calibri" w:hAnsi="Calibri"/>
                <w:sz w:val="20"/>
                <w:szCs w:val="20"/>
              </w:rPr>
            </w:pPr>
            <w:r w:rsidRPr="00726D46">
              <w:rPr>
                <w:rFonts w:ascii="Calibri" w:hAnsi="Calibri"/>
                <w:sz w:val="20"/>
                <w:szCs w:val="20"/>
              </w:rPr>
              <w:t xml:space="preserve">Makes decisions (including developing new) workflows, process and/or procedures.  </w:t>
            </w:r>
          </w:p>
          <w:p w14:paraId="697171A9" w14:textId="77777777" w:rsidR="00E063DC" w:rsidRPr="00726D46" w:rsidRDefault="00E063DC" w:rsidP="00E063DC">
            <w:pPr>
              <w:numPr>
                <w:ilvl w:val="0"/>
                <w:numId w:val="11"/>
              </w:numPr>
              <w:rPr>
                <w:rFonts w:ascii="Calibri" w:hAnsi="Calibri"/>
                <w:sz w:val="20"/>
                <w:szCs w:val="20"/>
              </w:rPr>
            </w:pPr>
            <w:r w:rsidRPr="00726D46">
              <w:rPr>
                <w:rFonts w:ascii="Calibri" w:hAnsi="Calibri"/>
                <w:bCs/>
                <w:sz w:val="20"/>
                <w:szCs w:val="20"/>
              </w:rPr>
              <w:t xml:space="preserve">Gathers reviews and analyzes information to form recommendations for changes to related technology, content standards, process and procedures. </w:t>
            </w:r>
          </w:p>
          <w:p w14:paraId="40224852" w14:textId="77777777" w:rsidR="00E063DC" w:rsidRPr="00726D46" w:rsidRDefault="00E063DC" w:rsidP="00E063DC">
            <w:pPr>
              <w:numPr>
                <w:ilvl w:val="0"/>
                <w:numId w:val="11"/>
              </w:numPr>
              <w:rPr>
                <w:rFonts w:ascii="Calibri" w:hAnsi="Calibri"/>
                <w:sz w:val="20"/>
                <w:szCs w:val="20"/>
              </w:rPr>
            </w:pPr>
            <w:r w:rsidRPr="00726D46">
              <w:rPr>
                <w:rFonts w:ascii="Calibri" w:hAnsi="Calibri"/>
                <w:sz w:val="20"/>
                <w:szCs w:val="20"/>
              </w:rPr>
              <w:t xml:space="preserve">Develops and contributes to proposals to define objectives and goals for the development of future curriculum and calendar initiatives.  </w:t>
            </w:r>
          </w:p>
          <w:p w14:paraId="7E3D4927" w14:textId="77777777" w:rsidR="00E063DC" w:rsidRPr="00726D46" w:rsidRDefault="00E063DC" w:rsidP="00E063DC">
            <w:pPr>
              <w:numPr>
                <w:ilvl w:val="0"/>
                <w:numId w:val="11"/>
              </w:numPr>
              <w:rPr>
                <w:rFonts w:ascii="Calibri" w:hAnsi="Calibri"/>
                <w:sz w:val="20"/>
                <w:szCs w:val="20"/>
              </w:rPr>
            </w:pPr>
            <w:r w:rsidRPr="00726D46">
              <w:rPr>
                <w:rFonts w:ascii="Calibri" w:hAnsi="Calibri"/>
                <w:sz w:val="20"/>
                <w:szCs w:val="20"/>
              </w:rPr>
              <w:t xml:space="preserve">Provides recommendations to the Senate Committee on Curriculum members, Deans, Associate Deans, Registrar, Associate Registrar’s and Program Directors. </w:t>
            </w:r>
          </w:p>
          <w:p w14:paraId="102C556E" w14:textId="77777777" w:rsidR="00380A2C" w:rsidRPr="00E063DC" w:rsidRDefault="00E063DC" w:rsidP="006658CA">
            <w:pPr>
              <w:numPr>
                <w:ilvl w:val="0"/>
                <w:numId w:val="11"/>
              </w:numPr>
              <w:rPr>
                <w:rFonts w:ascii="Calibri" w:hAnsi="Calibri"/>
                <w:sz w:val="22"/>
                <w:szCs w:val="22"/>
              </w:rPr>
            </w:pPr>
            <w:r w:rsidRPr="00726D46">
              <w:rPr>
                <w:rFonts w:ascii="Calibri" w:hAnsi="Calibri"/>
                <w:bCs/>
                <w:sz w:val="20"/>
                <w:szCs w:val="20"/>
              </w:rPr>
              <w:t>May participate in policy research or development through the Ad Hoc Senate Committee and/or with senior management within USEC, Faculty Relations, VPAC, Archivist, Systems.</w:t>
            </w:r>
            <w:r w:rsidRPr="0068440E">
              <w:rPr>
                <w:rFonts w:ascii="Calibri" w:hAnsi="Calibri"/>
                <w:bCs/>
                <w:sz w:val="22"/>
                <w:szCs w:val="22"/>
              </w:rPr>
              <w:t xml:space="preserve"> </w:t>
            </w:r>
            <w:r w:rsidRPr="0068440E">
              <w:rPr>
                <w:rFonts w:ascii="Calibri" w:hAnsi="Calibri"/>
                <w:sz w:val="22"/>
                <w:szCs w:val="22"/>
              </w:rPr>
              <w:t xml:space="preserve">  </w:t>
            </w:r>
          </w:p>
        </w:tc>
      </w:tr>
    </w:tbl>
    <w:p w14:paraId="255506ED" w14:textId="77777777" w:rsidR="00A76C9B" w:rsidRDefault="00A76C9B" w:rsidP="00A76C9B">
      <w:pPr>
        <w:rPr>
          <w:rFonts w:ascii="Arial" w:hAnsi="Arial" w:cs="Arial"/>
          <w:sz w:val="20"/>
          <w:szCs w:val="20"/>
        </w:rPr>
      </w:pPr>
    </w:p>
    <w:tbl>
      <w:tblPr>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0A0" w:firstRow="1" w:lastRow="0" w:firstColumn="1" w:lastColumn="0" w:noHBand="0" w:noVBand="0"/>
      </w:tblPr>
      <w:tblGrid>
        <w:gridCol w:w="8856"/>
      </w:tblGrid>
      <w:tr w:rsidR="00A76C9B" w:rsidRPr="009E3DFB" w14:paraId="3630E559" w14:textId="77777777" w:rsidTr="00226F82">
        <w:tc>
          <w:tcPr>
            <w:tcW w:w="8856" w:type="dxa"/>
            <w:shd w:val="clear" w:color="auto" w:fill="E6E6E6"/>
          </w:tcPr>
          <w:p w14:paraId="49F77ADA" w14:textId="77777777" w:rsidR="00A76C9B" w:rsidRPr="009E3DFB" w:rsidRDefault="00A76C9B" w:rsidP="00726D46">
            <w:pPr>
              <w:tabs>
                <w:tab w:val="left" w:pos="360"/>
              </w:tabs>
              <w:ind w:left="360" w:hanging="360"/>
              <w:rPr>
                <w:rFonts w:ascii="Arial" w:hAnsi="Arial" w:cs="Arial"/>
                <w:b/>
                <w:sz w:val="22"/>
                <w:szCs w:val="22"/>
              </w:rPr>
            </w:pPr>
            <w:r w:rsidRPr="009E3DFB">
              <w:rPr>
                <w:rFonts w:ascii="Arial" w:hAnsi="Arial" w:cs="Arial"/>
                <w:b/>
                <w:sz w:val="22"/>
                <w:szCs w:val="22"/>
              </w:rPr>
              <w:t>5.   Summary of qualifications:</w:t>
            </w:r>
            <w:r w:rsidR="00F01AF6">
              <w:rPr>
                <w:rFonts w:ascii="Arial" w:hAnsi="Arial" w:cs="Arial"/>
                <w:b/>
                <w:sz w:val="22"/>
                <w:szCs w:val="22"/>
              </w:rPr>
              <w:t xml:space="preserve">  </w:t>
            </w:r>
          </w:p>
        </w:tc>
      </w:tr>
      <w:tr w:rsidR="00A76C9B" w:rsidRPr="009E3DFB" w14:paraId="519598D2" w14:textId="77777777" w:rsidTr="00226F82">
        <w:tc>
          <w:tcPr>
            <w:tcW w:w="8856" w:type="dxa"/>
            <w:shd w:val="clear" w:color="auto" w:fill="auto"/>
          </w:tcPr>
          <w:p w14:paraId="0CDB4D3E" w14:textId="77777777" w:rsidR="00726D46" w:rsidRDefault="00726D46" w:rsidP="00726D46">
            <w:pPr>
              <w:widowControl w:val="0"/>
              <w:autoSpaceDE w:val="0"/>
              <w:autoSpaceDN w:val="0"/>
              <w:outlineLvl w:val="0"/>
              <w:rPr>
                <w:rFonts w:ascii="Calibri" w:hAnsi="Calibri"/>
                <w:sz w:val="22"/>
                <w:szCs w:val="22"/>
                <w:lang w:val="en-CA"/>
              </w:rPr>
            </w:pPr>
          </w:p>
          <w:p w14:paraId="542F090E" w14:textId="77777777" w:rsidR="00726D46" w:rsidRPr="00726D46" w:rsidRDefault="00726D46" w:rsidP="00726D46">
            <w:pPr>
              <w:widowControl w:val="0"/>
              <w:autoSpaceDE w:val="0"/>
              <w:autoSpaceDN w:val="0"/>
              <w:outlineLvl w:val="0"/>
              <w:rPr>
                <w:rFonts w:ascii="Calibri" w:hAnsi="Calibri"/>
                <w:sz w:val="20"/>
                <w:szCs w:val="20"/>
                <w:lang w:val="en-CA"/>
              </w:rPr>
            </w:pPr>
            <w:r w:rsidRPr="00726D46">
              <w:rPr>
                <w:rFonts w:ascii="Calibri" w:hAnsi="Calibri"/>
                <w:sz w:val="20"/>
                <w:szCs w:val="20"/>
                <w:lang w:val="en-CA"/>
              </w:rPr>
              <w:t xml:space="preserve">Requires a Bachelor’s Degree and 5 years’ experience in a postsecondary setting. Experience must include: </w:t>
            </w:r>
          </w:p>
          <w:p w14:paraId="2B7B4D82" w14:textId="77777777" w:rsidR="00726D46" w:rsidRPr="00726D46" w:rsidRDefault="00726D46" w:rsidP="00726D46">
            <w:pPr>
              <w:widowControl w:val="0"/>
              <w:numPr>
                <w:ilvl w:val="0"/>
                <w:numId w:val="14"/>
              </w:numPr>
              <w:autoSpaceDE w:val="0"/>
              <w:autoSpaceDN w:val="0"/>
              <w:outlineLvl w:val="0"/>
              <w:rPr>
                <w:rFonts w:ascii="Calibri" w:hAnsi="Calibri"/>
                <w:sz w:val="20"/>
                <w:szCs w:val="20"/>
                <w:lang w:val="en-CA"/>
              </w:rPr>
            </w:pPr>
            <w:r w:rsidRPr="00726D46">
              <w:rPr>
                <w:rFonts w:ascii="Calibri" w:hAnsi="Calibri"/>
                <w:sz w:val="20"/>
                <w:szCs w:val="20"/>
                <w:lang w:val="en-CA"/>
              </w:rPr>
              <w:t xml:space="preserve">Managing a team in the delivery of services </w:t>
            </w:r>
          </w:p>
          <w:p w14:paraId="34592B86" w14:textId="77777777" w:rsidR="00726D46" w:rsidRPr="00726D46" w:rsidRDefault="00726D46" w:rsidP="00726D46">
            <w:pPr>
              <w:widowControl w:val="0"/>
              <w:numPr>
                <w:ilvl w:val="0"/>
                <w:numId w:val="14"/>
              </w:numPr>
              <w:autoSpaceDE w:val="0"/>
              <w:autoSpaceDN w:val="0"/>
              <w:outlineLvl w:val="0"/>
              <w:rPr>
                <w:rFonts w:ascii="Calibri" w:hAnsi="Calibri"/>
                <w:sz w:val="20"/>
                <w:szCs w:val="20"/>
                <w:lang w:val="en-CA"/>
              </w:rPr>
            </w:pPr>
            <w:r w:rsidRPr="00726D46">
              <w:rPr>
                <w:rFonts w:ascii="Calibri" w:hAnsi="Calibri"/>
                <w:sz w:val="20"/>
                <w:szCs w:val="20"/>
                <w:lang w:val="en-CA"/>
              </w:rPr>
              <w:t xml:space="preserve">Managing complex projects within formal project frameworks, </w:t>
            </w:r>
          </w:p>
          <w:p w14:paraId="5BE78F77" w14:textId="77777777" w:rsidR="00726D46" w:rsidRPr="00726D46" w:rsidRDefault="00726D46" w:rsidP="00726D46">
            <w:pPr>
              <w:widowControl w:val="0"/>
              <w:numPr>
                <w:ilvl w:val="0"/>
                <w:numId w:val="14"/>
              </w:numPr>
              <w:autoSpaceDE w:val="0"/>
              <w:autoSpaceDN w:val="0"/>
              <w:outlineLvl w:val="0"/>
              <w:rPr>
                <w:rFonts w:ascii="Calibri" w:hAnsi="Calibri"/>
                <w:sz w:val="20"/>
                <w:szCs w:val="20"/>
                <w:lang w:val="en-CA"/>
              </w:rPr>
            </w:pPr>
            <w:r w:rsidRPr="00726D46">
              <w:rPr>
                <w:rFonts w:ascii="Calibri" w:hAnsi="Calibri"/>
                <w:sz w:val="20"/>
                <w:szCs w:val="20"/>
                <w:lang w:val="en-CA"/>
              </w:rPr>
              <w:t>Effectively leveraging a range of relevant technologies including: Student Information System (e.g. Banner), complex databases, spreadsheets, relevant web-based applications, publication software (e.g. FrameMaker), web content management system (e.g. Cascade).</w:t>
            </w:r>
          </w:p>
          <w:p w14:paraId="5D77B5A0" w14:textId="77777777" w:rsidR="00726D46" w:rsidRPr="00726D46" w:rsidRDefault="00726D46" w:rsidP="00726D46">
            <w:pPr>
              <w:tabs>
                <w:tab w:val="left" w:pos="360"/>
              </w:tabs>
              <w:rPr>
                <w:rFonts w:ascii="Calibri" w:hAnsi="Calibri" w:cs="Arial"/>
                <w:sz w:val="20"/>
                <w:szCs w:val="20"/>
              </w:rPr>
            </w:pPr>
          </w:p>
          <w:p w14:paraId="547F9C75" w14:textId="77777777" w:rsidR="00726D46" w:rsidRPr="00726D46" w:rsidRDefault="00726D46" w:rsidP="00726D46">
            <w:pPr>
              <w:tabs>
                <w:tab w:val="left" w:pos="360"/>
              </w:tabs>
              <w:ind w:left="360" w:hanging="360"/>
              <w:rPr>
                <w:rFonts w:ascii="Calibri" w:hAnsi="Calibri"/>
                <w:sz w:val="20"/>
                <w:szCs w:val="20"/>
              </w:rPr>
            </w:pPr>
            <w:r w:rsidRPr="00726D46">
              <w:rPr>
                <w:rFonts w:ascii="Calibri" w:hAnsi="Calibri"/>
                <w:sz w:val="20"/>
                <w:szCs w:val="20"/>
              </w:rPr>
              <w:t xml:space="preserve">In addition, this position requires: </w:t>
            </w:r>
          </w:p>
          <w:p w14:paraId="3EA20C78"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 xml:space="preserve">In-depth knowledge of post-secondary organization, structure and academic policies, regulations and processes.  </w:t>
            </w:r>
          </w:p>
          <w:p w14:paraId="69C53ADF"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 xml:space="preserve">Strong organizational skills and ability to create clear and transparent process and procedures in a complex environment </w:t>
            </w:r>
          </w:p>
          <w:p w14:paraId="4E7070B3"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 xml:space="preserve">Ability to work well independently and collaboratively. </w:t>
            </w:r>
          </w:p>
          <w:p w14:paraId="4AA06E40"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 xml:space="preserve">Ability to effectively navigate a highly complex and political environment. </w:t>
            </w:r>
          </w:p>
          <w:p w14:paraId="07B26452"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 xml:space="preserve">Superior communication skills and the ability to translate complex information or frameworks in a way that is understandable to a variety of audiences as well as the ability to lead and address meetings, influence decision making in an open and positive manner, prepare reports, develop, and motivate a team. </w:t>
            </w:r>
          </w:p>
          <w:p w14:paraId="61BF53D0" w14:textId="77777777" w:rsidR="00726D46" w:rsidRPr="00726D46" w:rsidRDefault="00726D46" w:rsidP="00726D46">
            <w:pPr>
              <w:numPr>
                <w:ilvl w:val="0"/>
                <w:numId w:val="15"/>
              </w:numPr>
              <w:tabs>
                <w:tab w:val="left" w:pos="360"/>
              </w:tabs>
              <w:rPr>
                <w:rFonts w:ascii="Calibri" w:hAnsi="Calibri"/>
                <w:sz w:val="20"/>
                <w:szCs w:val="20"/>
              </w:rPr>
            </w:pPr>
            <w:r w:rsidRPr="00726D46">
              <w:rPr>
                <w:rFonts w:ascii="Calibri" w:hAnsi="Calibri"/>
                <w:sz w:val="20"/>
                <w:szCs w:val="20"/>
              </w:rPr>
              <w:t>An open and collegial style, a positive outlook, personal insight and organizational astuteness along with the proven ability to assess and re-deploy resources strategically in accordance with operational changes.</w:t>
            </w:r>
          </w:p>
          <w:p w14:paraId="03FF2AFB" w14:textId="77777777" w:rsidR="00726D46" w:rsidRPr="00726D46" w:rsidRDefault="00726D46" w:rsidP="00726D46">
            <w:pPr>
              <w:tabs>
                <w:tab w:val="left" w:pos="360"/>
              </w:tabs>
              <w:ind w:left="360" w:hanging="360"/>
              <w:rPr>
                <w:rFonts w:ascii="Calibri" w:hAnsi="Calibri"/>
                <w:sz w:val="20"/>
                <w:szCs w:val="20"/>
              </w:rPr>
            </w:pPr>
          </w:p>
          <w:p w14:paraId="6F209F8B" w14:textId="77777777" w:rsidR="00A76C9B" w:rsidRPr="00535468" w:rsidRDefault="00726D46" w:rsidP="009E3DFB">
            <w:pPr>
              <w:tabs>
                <w:tab w:val="left" w:pos="360"/>
              </w:tabs>
              <w:rPr>
                <w:rFonts w:ascii="Calibri" w:hAnsi="Calibri" w:cs="Arial"/>
                <w:sz w:val="20"/>
                <w:szCs w:val="20"/>
              </w:rPr>
            </w:pPr>
            <w:r w:rsidRPr="00726D46">
              <w:rPr>
                <w:rFonts w:ascii="Calibri" w:hAnsi="Calibri"/>
                <w:sz w:val="20"/>
                <w:szCs w:val="20"/>
              </w:rPr>
              <w:t>Preference may be given to work experience in post-secondary registration, curriculum and/or calendar production; and/or training or education in formal project management.</w:t>
            </w:r>
            <w:r w:rsidRPr="00726D46">
              <w:rPr>
                <w:rFonts w:ascii="Calibri" w:hAnsi="Calibri" w:cs="Arial"/>
                <w:sz w:val="20"/>
                <w:szCs w:val="20"/>
              </w:rPr>
              <w:t xml:space="preserve"> </w:t>
            </w:r>
          </w:p>
        </w:tc>
      </w:tr>
    </w:tbl>
    <w:p w14:paraId="73149DE8" w14:textId="77777777" w:rsidR="003A4946" w:rsidRDefault="003A4946">
      <w:pPr>
        <w:rPr>
          <w:rFonts w:ascii="Arial" w:hAnsi="Arial" w:cs="Arial"/>
        </w:rPr>
      </w:pPr>
    </w:p>
    <w:p w14:paraId="78FAC384" w14:textId="77777777" w:rsidR="00651782" w:rsidRDefault="00651782"/>
    <w:tbl>
      <w:tblPr>
        <w:tblStyle w:val="TableGrid"/>
        <w:tblW w:w="0" w:type="auto"/>
        <w:tblBorders>
          <w:top w:val="single" w:sz="18" w:space="0" w:color="E36C0A" w:themeColor="accent6" w:themeShade="BF"/>
          <w:left w:val="single" w:sz="18" w:space="0" w:color="E36C0A" w:themeColor="accent6" w:themeShade="BF"/>
          <w:bottom w:val="single" w:sz="12" w:space="0" w:color="E36C0A" w:themeColor="accent6" w:themeShade="BF"/>
          <w:right w:val="single" w:sz="18" w:space="0" w:color="E36C0A" w:themeColor="accent6" w:themeShade="BF"/>
        </w:tblBorders>
        <w:tblLook w:val="04A0" w:firstRow="1" w:lastRow="0" w:firstColumn="1" w:lastColumn="0" w:noHBand="0" w:noVBand="1"/>
      </w:tblPr>
      <w:tblGrid>
        <w:gridCol w:w="4428"/>
        <w:gridCol w:w="4428"/>
      </w:tblGrid>
      <w:tr w:rsidR="003A4946" w14:paraId="262E3D01" w14:textId="77777777" w:rsidTr="00651782">
        <w:tc>
          <w:tcPr>
            <w:tcW w:w="4428" w:type="dxa"/>
          </w:tcPr>
          <w:p w14:paraId="472B9112" w14:textId="77777777" w:rsidR="003A4946" w:rsidRDefault="004D2E9C">
            <w:pPr>
              <w:rPr>
                <w:rFonts w:ascii="Arial" w:hAnsi="Arial" w:cs="Arial"/>
                <w:b/>
                <w:sz w:val="22"/>
                <w:szCs w:val="22"/>
              </w:rPr>
            </w:pPr>
            <w:r>
              <w:rPr>
                <w:rFonts w:ascii="Arial" w:hAnsi="Arial" w:cs="Arial"/>
                <w:b/>
                <w:sz w:val="22"/>
                <w:szCs w:val="22"/>
              </w:rPr>
              <w:t>Employee’s Signature</w:t>
            </w:r>
            <w:r w:rsidR="003A4946" w:rsidRPr="00876391">
              <w:rPr>
                <w:rFonts w:ascii="Arial" w:hAnsi="Arial" w:cs="Arial"/>
                <w:b/>
                <w:sz w:val="22"/>
                <w:szCs w:val="22"/>
              </w:rPr>
              <w:t>:</w:t>
            </w:r>
          </w:p>
          <w:p w14:paraId="6D692B97" w14:textId="77777777" w:rsidR="00651782" w:rsidRDefault="00651782">
            <w:pPr>
              <w:rPr>
                <w:rFonts w:ascii="Arial" w:hAnsi="Arial" w:cs="Arial"/>
                <w:b/>
                <w:sz w:val="22"/>
                <w:szCs w:val="22"/>
              </w:rPr>
            </w:pPr>
          </w:p>
          <w:p w14:paraId="76BA27B4" w14:textId="77777777" w:rsidR="00651782" w:rsidRPr="00876391" w:rsidRDefault="00651782">
            <w:pPr>
              <w:rPr>
                <w:rFonts w:ascii="Arial" w:hAnsi="Arial" w:cs="Arial"/>
                <w:b/>
                <w:sz w:val="22"/>
                <w:szCs w:val="22"/>
              </w:rPr>
            </w:pPr>
          </w:p>
        </w:tc>
        <w:tc>
          <w:tcPr>
            <w:tcW w:w="4428" w:type="dxa"/>
          </w:tcPr>
          <w:p w14:paraId="5E921B4D" w14:textId="77777777" w:rsidR="003A4946" w:rsidRPr="00651782" w:rsidRDefault="00651782">
            <w:pPr>
              <w:rPr>
                <w:rFonts w:ascii="Arial" w:hAnsi="Arial" w:cs="Arial"/>
                <w:b/>
              </w:rPr>
            </w:pPr>
            <w:r w:rsidRPr="00651782">
              <w:rPr>
                <w:rFonts w:ascii="Arial" w:hAnsi="Arial" w:cs="Arial"/>
                <w:b/>
              </w:rPr>
              <w:t>Date:</w:t>
            </w:r>
          </w:p>
        </w:tc>
      </w:tr>
      <w:tr w:rsidR="003A4946" w14:paraId="73254AD7" w14:textId="77777777" w:rsidTr="00651782">
        <w:tc>
          <w:tcPr>
            <w:tcW w:w="4428" w:type="dxa"/>
          </w:tcPr>
          <w:p w14:paraId="56E715A5" w14:textId="77777777" w:rsidR="003A4946" w:rsidRDefault="00651782" w:rsidP="004D2E9C">
            <w:pPr>
              <w:rPr>
                <w:rFonts w:ascii="Arial" w:hAnsi="Arial" w:cs="Arial"/>
                <w:b/>
                <w:sz w:val="22"/>
                <w:szCs w:val="22"/>
              </w:rPr>
            </w:pPr>
            <w:r>
              <w:rPr>
                <w:rFonts w:ascii="Arial" w:hAnsi="Arial" w:cs="Arial"/>
                <w:b/>
                <w:sz w:val="22"/>
                <w:szCs w:val="22"/>
              </w:rPr>
              <w:t>Manager’s/Supervisor’s Signature</w:t>
            </w:r>
          </w:p>
          <w:p w14:paraId="7A364350" w14:textId="77777777" w:rsidR="00651782" w:rsidRDefault="00651782" w:rsidP="004D2E9C">
            <w:pPr>
              <w:rPr>
                <w:rFonts w:ascii="Arial" w:hAnsi="Arial" w:cs="Arial"/>
                <w:b/>
                <w:sz w:val="22"/>
                <w:szCs w:val="22"/>
              </w:rPr>
            </w:pPr>
          </w:p>
          <w:p w14:paraId="0EC1553E" w14:textId="77777777" w:rsidR="00651782" w:rsidRPr="00876391" w:rsidRDefault="00651782" w:rsidP="004D2E9C">
            <w:pPr>
              <w:rPr>
                <w:rFonts w:ascii="Arial" w:hAnsi="Arial" w:cs="Arial"/>
                <w:b/>
                <w:sz w:val="22"/>
                <w:szCs w:val="22"/>
              </w:rPr>
            </w:pPr>
          </w:p>
        </w:tc>
        <w:tc>
          <w:tcPr>
            <w:tcW w:w="4428" w:type="dxa"/>
          </w:tcPr>
          <w:p w14:paraId="29EFE4B2" w14:textId="77777777" w:rsidR="003A4946" w:rsidRPr="00651782" w:rsidRDefault="00651782">
            <w:pPr>
              <w:rPr>
                <w:rFonts w:ascii="Arial" w:hAnsi="Arial" w:cs="Arial"/>
                <w:b/>
              </w:rPr>
            </w:pPr>
            <w:r w:rsidRPr="00651782">
              <w:rPr>
                <w:rFonts w:ascii="Arial" w:hAnsi="Arial" w:cs="Arial"/>
                <w:b/>
              </w:rPr>
              <w:t>Date:</w:t>
            </w:r>
          </w:p>
        </w:tc>
      </w:tr>
    </w:tbl>
    <w:p w14:paraId="78B51390" w14:textId="77777777" w:rsidR="003A4946" w:rsidRDefault="003A4946"/>
    <w:sectPr w:rsidR="003A4946" w:rsidSect="00A76C9B">
      <w:footerReference w:type="default" r:id="rId9"/>
      <w:pgSz w:w="12240" w:h="15840"/>
      <w:pgMar w:top="1008"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63032" w14:textId="77777777" w:rsidR="00385D3B" w:rsidRDefault="00385D3B" w:rsidP="00306538">
      <w:r>
        <w:separator/>
      </w:r>
    </w:p>
  </w:endnote>
  <w:endnote w:type="continuationSeparator" w:id="0">
    <w:p w14:paraId="73B0238A" w14:textId="77777777" w:rsidR="00385D3B" w:rsidRDefault="00385D3B" w:rsidP="0030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413774"/>
      <w:docPartObj>
        <w:docPartGallery w:val="Page Numbers (Bottom of Page)"/>
        <w:docPartUnique/>
      </w:docPartObj>
    </w:sdtPr>
    <w:sdtEndPr>
      <w:rPr>
        <w:noProof/>
      </w:rPr>
    </w:sdtEndPr>
    <w:sdtContent>
      <w:p w14:paraId="72A861D9" w14:textId="74924522" w:rsidR="00306538" w:rsidRDefault="00306538">
        <w:pPr>
          <w:pStyle w:val="Footer"/>
          <w:jc w:val="center"/>
        </w:pPr>
        <w:r>
          <w:fldChar w:fldCharType="begin"/>
        </w:r>
        <w:r>
          <w:instrText xml:space="preserve"> PAGE   \* MERGEFORMAT </w:instrText>
        </w:r>
        <w:r>
          <w:fldChar w:fldCharType="separate"/>
        </w:r>
        <w:r w:rsidR="008B764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F623" w14:textId="77777777" w:rsidR="00385D3B" w:rsidRDefault="00385D3B" w:rsidP="00306538">
      <w:r>
        <w:separator/>
      </w:r>
    </w:p>
  </w:footnote>
  <w:footnote w:type="continuationSeparator" w:id="0">
    <w:p w14:paraId="5261FD41" w14:textId="77777777" w:rsidR="00385D3B" w:rsidRDefault="00385D3B" w:rsidP="0030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000000"/>
        <w:sz w:val="20"/>
        <w:szCs w:val="20"/>
        <w:lang w:eastAsia="en-CA"/>
      </w:rPr>
    </w:lvl>
  </w:abstractNum>
  <w:abstractNum w:abstractNumId="1" w15:restartNumberingAfterBreak="0">
    <w:nsid w:val="04764DB7"/>
    <w:multiLevelType w:val="hybridMultilevel"/>
    <w:tmpl w:val="E01E95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3D73C0"/>
    <w:multiLevelType w:val="hybridMultilevel"/>
    <w:tmpl w:val="AF78430E"/>
    <w:lvl w:ilvl="0" w:tplc="4EE0776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822F2"/>
    <w:multiLevelType w:val="hybridMultilevel"/>
    <w:tmpl w:val="AFB43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4913EC"/>
    <w:multiLevelType w:val="hybridMultilevel"/>
    <w:tmpl w:val="DA6E2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5" w15:restartNumberingAfterBreak="0">
    <w:nsid w:val="1EDB7FC2"/>
    <w:multiLevelType w:val="hybridMultilevel"/>
    <w:tmpl w:val="0DDAB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4226D"/>
    <w:multiLevelType w:val="hybridMultilevel"/>
    <w:tmpl w:val="C2B0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9A2BF9"/>
    <w:multiLevelType w:val="hybridMultilevel"/>
    <w:tmpl w:val="4C84E3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9831CD6"/>
    <w:multiLevelType w:val="hybridMultilevel"/>
    <w:tmpl w:val="E026C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320EE8"/>
    <w:multiLevelType w:val="hybridMultilevel"/>
    <w:tmpl w:val="08BC6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593489"/>
    <w:multiLevelType w:val="hybridMultilevel"/>
    <w:tmpl w:val="3E1E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63A77"/>
    <w:multiLevelType w:val="hybridMultilevel"/>
    <w:tmpl w:val="73306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376406"/>
    <w:multiLevelType w:val="hybridMultilevel"/>
    <w:tmpl w:val="0A0A99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15B72D9"/>
    <w:multiLevelType w:val="singleLevel"/>
    <w:tmpl w:val="10090001"/>
    <w:lvl w:ilvl="0">
      <w:start w:val="1"/>
      <w:numFmt w:val="bullet"/>
      <w:lvlText w:val=""/>
      <w:lvlJc w:val="left"/>
      <w:pPr>
        <w:ind w:left="360" w:hanging="360"/>
      </w:pPr>
      <w:rPr>
        <w:rFonts w:ascii="Symbol" w:hAnsi="Symbol" w:hint="default"/>
        <w:b/>
        <w:i w:val="0"/>
      </w:rPr>
    </w:lvl>
  </w:abstractNum>
  <w:abstractNum w:abstractNumId="14" w15:restartNumberingAfterBreak="0">
    <w:nsid w:val="7CC0343E"/>
    <w:multiLevelType w:val="hybridMultilevel"/>
    <w:tmpl w:val="CADE4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11"/>
  </w:num>
  <w:num w:numId="5">
    <w:abstractNumId w:val="12"/>
  </w:num>
  <w:num w:numId="6">
    <w:abstractNumId w:val="0"/>
  </w:num>
  <w:num w:numId="7">
    <w:abstractNumId w:val="6"/>
  </w:num>
  <w:num w:numId="8">
    <w:abstractNumId w:val="9"/>
  </w:num>
  <w:num w:numId="9">
    <w:abstractNumId w:val="13"/>
  </w:num>
  <w:num w:numId="10">
    <w:abstractNumId w:val="10"/>
  </w:num>
  <w:num w:numId="11">
    <w:abstractNumId w:val="14"/>
  </w:num>
  <w:num w:numId="12">
    <w:abstractNumId w:val="3"/>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9B"/>
    <w:rsid w:val="00000DA5"/>
    <w:rsid w:val="00023743"/>
    <w:rsid w:val="0004737E"/>
    <w:rsid w:val="000772CB"/>
    <w:rsid w:val="00097959"/>
    <w:rsid w:val="000F57DF"/>
    <w:rsid w:val="00197325"/>
    <w:rsid w:val="001C2D13"/>
    <w:rsid w:val="001F06F7"/>
    <w:rsid w:val="001F72A5"/>
    <w:rsid w:val="00226F82"/>
    <w:rsid w:val="002551F0"/>
    <w:rsid w:val="0028573F"/>
    <w:rsid w:val="00294E0A"/>
    <w:rsid w:val="002F0243"/>
    <w:rsid w:val="002F4678"/>
    <w:rsid w:val="003037E4"/>
    <w:rsid w:val="00306538"/>
    <w:rsid w:val="00380A2C"/>
    <w:rsid w:val="00385D3B"/>
    <w:rsid w:val="003A4946"/>
    <w:rsid w:val="003A5429"/>
    <w:rsid w:val="003E07DD"/>
    <w:rsid w:val="004462D7"/>
    <w:rsid w:val="0048785C"/>
    <w:rsid w:val="004D2E9C"/>
    <w:rsid w:val="00506834"/>
    <w:rsid w:val="00526E0D"/>
    <w:rsid w:val="00535468"/>
    <w:rsid w:val="00535A63"/>
    <w:rsid w:val="00564179"/>
    <w:rsid w:val="0057152D"/>
    <w:rsid w:val="00580832"/>
    <w:rsid w:val="0061461E"/>
    <w:rsid w:val="006177FD"/>
    <w:rsid w:val="006302F4"/>
    <w:rsid w:val="00650CC5"/>
    <w:rsid w:val="00651782"/>
    <w:rsid w:val="00653AC6"/>
    <w:rsid w:val="006658CA"/>
    <w:rsid w:val="00681F82"/>
    <w:rsid w:val="00686503"/>
    <w:rsid w:val="00687E0C"/>
    <w:rsid w:val="0069315E"/>
    <w:rsid w:val="006B62CD"/>
    <w:rsid w:val="006C5EE5"/>
    <w:rsid w:val="006F17BD"/>
    <w:rsid w:val="006F4D25"/>
    <w:rsid w:val="00720F94"/>
    <w:rsid w:val="00726D46"/>
    <w:rsid w:val="00740C18"/>
    <w:rsid w:val="00782213"/>
    <w:rsid w:val="00790A85"/>
    <w:rsid w:val="00792904"/>
    <w:rsid w:val="00810AEF"/>
    <w:rsid w:val="00834BE9"/>
    <w:rsid w:val="00836DB3"/>
    <w:rsid w:val="00876391"/>
    <w:rsid w:val="008909B9"/>
    <w:rsid w:val="008B764E"/>
    <w:rsid w:val="008C5B4B"/>
    <w:rsid w:val="008D0FD8"/>
    <w:rsid w:val="008D2999"/>
    <w:rsid w:val="008D7C42"/>
    <w:rsid w:val="0091093F"/>
    <w:rsid w:val="00932F7A"/>
    <w:rsid w:val="00937531"/>
    <w:rsid w:val="00943653"/>
    <w:rsid w:val="009B646D"/>
    <w:rsid w:val="009E3DFB"/>
    <w:rsid w:val="00A01802"/>
    <w:rsid w:val="00A34CEB"/>
    <w:rsid w:val="00A43787"/>
    <w:rsid w:val="00A4596F"/>
    <w:rsid w:val="00A4600F"/>
    <w:rsid w:val="00A76C9B"/>
    <w:rsid w:val="00AB5545"/>
    <w:rsid w:val="00AD1EF4"/>
    <w:rsid w:val="00B12786"/>
    <w:rsid w:val="00B14763"/>
    <w:rsid w:val="00B221EA"/>
    <w:rsid w:val="00B24439"/>
    <w:rsid w:val="00B33EBB"/>
    <w:rsid w:val="00B4509A"/>
    <w:rsid w:val="00B4622A"/>
    <w:rsid w:val="00B53575"/>
    <w:rsid w:val="00B872A7"/>
    <w:rsid w:val="00B9465A"/>
    <w:rsid w:val="00BF10AC"/>
    <w:rsid w:val="00C027A6"/>
    <w:rsid w:val="00C10EFA"/>
    <w:rsid w:val="00C6048D"/>
    <w:rsid w:val="00C72159"/>
    <w:rsid w:val="00C81A69"/>
    <w:rsid w:val="00C91391"/>
    <w:rsid w:val="00CB3275"/>
    <w:rsid w:val="00CF3F66"/>
    <w:rsid w:val="00D14EAE"/>
    <w:rsid w:val="00D5241B"/>
    <w:rsid w:val="00D64A48"/>
    <w:rsid w:val="00DB7E4F"/>
    <w:rsid w:val="00DF458F"/>
    <w:rsid w:val="00E063DC"/>
    <w:rsid w:val="00E25615"/>
    <w:rsid w:val="00E30C0B"/>
    <w:rsid w:val="00E86563"/>
    <w:rsid w:val="00ED004C"/>
    <w:rsid w:val="00ED3E05"/>
    <w:rsid w:val="00EE0D9F"/>
    <w:rsid w:val="00EE4A4A"/>
    <w:rsid w:val="00F01AF6"/>
    <w:rsid w:val="00F857EF"/>
    <w:rsid w:val="00FA4E7E"/>
    <w:rsid w:val="00FF7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F5EE"/>
  <w15:docId w15:val="{501B6589-A078-47C1-A289-72DF2FB1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07DD"/>
    <w:rPr>
      <w:rFonts w:ascii="Tahoma" w:hAnsi="Tahoma" w:cs="Tahoma"/>
      <w:sz w:val="16"/>
      <w:szCs w:val="16"/>
    </w:rPr>
  </w:style>
  <w:style w:type="character" w:customStyle="1" w:styleId="BalloonTextChar">
    <w:name w:val="Balloon Text Char"/>
    <w:basedOn w:val="DefaultParagraphFont"/>
    <w:link w:val="BalloonText"/>
    <w:rsid w:val="003E07DD"/>
    <w:rPr>
      <w:rFonts w:ascii="Tahoma" w:hAnsi="Tahoma" w:cs="Tahoma"/>
      <w:sz w:val="16"/>
      <w:szCs w:val="16"/>
      <w:lang w:val="en-US" w:eastAsia="en-US"/>
    </w:rPr>
  </w:style>
  <w:style w:type="paragraph" w:styleId="ListParagraph">
    <w:name w:val="List Paragraph"/>
    <w:basedOn w:val="Normal"/>
    <w:uiPriority w:val="34"/>
    <w:qFormat/>
    <w:rsid w:val="00681F82"/>
    <w:pPr>
      <w:ind w:left="720"/>
      <w:contextualSpacing/>
    </w:pPr>
  </w:style>
  <w:style w:type="paragraph" w:styleId="NormalWeb">
    <w:name w:val="Normal (Web)"/>
    <w:basedOn w:val="Normal"/>
    <w:uiPriority w:val="99"/>
    <w:unhideWhenUsed/>
    <w:rsid w:val="00294E0A"/>
    <w:pPr>
      <w:spacing w:before="100" w:beforeAutospacing="1" w:after="100" w:afterAutospacing="1"/>
    </w:pPr>
    <w:rPr>
      <w:lang w:val="en-CA" w:eastAsia="en-CA"/>
    </w:rPr>
  </w:style>
  <w:style w:type="character" w:styleId="CommentReference">
    <w:name w:val="annotation reference"/>
    <w:basedOn w:val="DefaultParagraphFont"/>
    <w:rsid w:val="00506834"/>
    <w:rPr>
      <w:sz w:val="16"/>
      <w:szCs w:val="16"/>
    </w:rPr>
  </w:style>
  <w:style w:type="paragraph" w:styleId="CommentText">
    <w:name w:val="annotation text"/>
    <w:basedOn w:val="Normal"/>
    <w:link w:val="CommentTextChar"/>
    <w:rsid w:val="00506834"/>
    <w:rPr>
      <w:sz w:val="20"/>
      <w:szCs w:val="20"/>
    </w:rPr>
  </w:style>
  <w:style w:type="character" w:customStyle="1" w:styleId="CommentTextChar">
    <w:name w:val="Comment Text Char"/>
    <w:basedOn w:val="DefaultParagraphFont"/>
    <w:link w:val="CommentText"/>
    <w:rsid w:val="00506834"/>
    <w:rPr>
      <w:lang w:val="en-US" w:eastAsia="en-US"/>
    </w:rPr>
  </w:style>
  <w:style w:type="paragraph" w:styleId="CommentSubject">
    <w:name w:val="annotation subject"/>
    <w:basedOn w:val="CommentText"/>
    <w:next w:val="CommentText"/>
    <w:link w:val="CommentSubjectChar"/>
    <w:rsid w:val="00506834"/>
    <w:rPr>
      <w:b/>
      <w:bCs/>
    </w:rPr>
  </w:style>
  <w:style w:type="character" w:customStyle="1" w:styleId="CommentSubjectChar">
    <w:name w:val="Comment Subject Char"/>
    <w:basedOn w:val="CommentTextChar"/>
    <w:link w:val="CommentSubject"/>
    <w:rsid w:val="00506834"/>
    <w:rPr>
      <w:b/>
      <w:bCs/>
      <w:lang w:val="en-US" w:eastAsia="en-US"/>
    </w:rPr>
  </w:style>
  <w:style w:type="paragraph" w:styleId="Header">
    <w:name w:val="header"/>
    <w:basedOn w:val="Normal"/>
    <w:link w:val="HeaderChar"/>
    <w:rsid w:val="00306538"/>
    <w:pPr>
      <w:tabs>
        <w:tab w:val="center" w:pos="4680"/>
        <w:tab w:val="right" w:pos="9360"/>
      </w:tabs>
    </w:pPr>
  </w:style>
  <w:style w:type="character" w:customStyle="1" w:styleId="HeaderChar">
    <w:name w:val="Header Char"/>
    <w:basedOn w:val="DefaultParagraphFont"/>
    <w:link w:val="Header"/>
    <w:rsid w:val="00306538"/>
    <w:rPr>
      <w:sz w:val="24"/>
      <w:szCs w:val="24"/>
      <w:lang w:val="en-US" w:eastAsia="en-US"/>
    </w:rPr>
  </w:style>
  <w:style w:type="paragraph" w:styleId="Footer">
    <w:name w:val="footer"/>
    <w:basedOn w:val="Normal"/>
    <w:link w:val="FooterChar"/>
    <w:uiPriority w:val="99"/>
    <w:rsid w:val="00306538"/>
    <w:pPr>
      <w:tabs>
        <w:tab w:val="center" w:pos="4680"/>
        <w:tab w:val="right" w:pos="9360"/>
      </w:tabs>
    </w:pPr>
  </w:style>
  <w:style w:type="character" w:customStyle="1" w:styleId="FooterChar">
    <w:name w:val="Footer Char"/>
    <w:basedOn w:val="DefaultParagraphFont"/>
    <w:link w:val="Footer"/>
    <w:uiPriority w:val="99"/>
    <w:rsid w:val="00306538"/>
    <w:rPr>
      <w:sz w:val="24"/>
      <w:szCs w:val="24"/>
      <w:lang w:val="en-US" w:eastAsia="en-US"/>
    </w:rPr>
  </w:style>
  <w:style w:type="paragraph" w:customStyle="1" w:styleId="Default">
    <w:name w:val="Default"/>
    <w:basedOn w:val="Normal"/>
    <w:rsid w:val="00720F94"/>
    <w:pPr>
      <w:autoSpaceDE w:val="0"/>
      <w:autoSpaceDN w:val="0"/>
    </w:pPr>
    <w:rPr>
      <w:rFonts w:ascii="Arial" w:eastAsia="Calibri" w:hAnsi="Arial" w:cs="Arial"/>
      <w:color w:val="000000"/>
      <w:lang w:val="en-CA"/>
    </w:rPr>
  </w:style>
  <w:style w:type="paragraph" w:styleId="BodyTextIndent">
    <w:name w:val="Body Text Indent"/>
    <w:basedOn w:val="Normal"/>
    <w:link w:val="BodyTextIndentChar"/>
    <w:rsid w:val="00DF458F"/>
    <w:pPr>
      <w:widowControl w:val="0"/>
      <w:autoSpaceDE w:val="0"/>
      <w:autoSpaceDN w:val="0"/>
      <w:jc w:val="both"/>
    </w:pPr>
    <w:rPr>
      <w:rFonts w:ascii="Arial" w:hAnsi="Arial" w:cs="Arial"/>
      <w:b/>
      <w:bCs/>
      <w:sz w:val="22"/>
      <w:szCs w:val="22"/>
      <w:lang w:val="en-CA"/>
    </w:rPr>
  </w:style>
  <w:style w:type="character" w:customStyle="1" w:styleId="BodyTextIndentChar">
    <w:name w:val="Body Text Indent Char"/>
    <w:basedOn w:val="DefaultParagraphFont"/>
    <w:link w:val="BodyTextIndent"/>
    <w:rsid w:val="00DF458F"/>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6327">
      <w:bodyDiv w:val="1"/>
      <w:marLeft w:val="0"/>
      <w:marRight w:val="0"/>
      <w:marTop w:val="0"/>
      <w:marBottom w:val="0"/>
      <w:divBdr>
        <w:top w:val="none" w:sz="0" w:space="0" w:color="auto"/>
        <w:left w:val="none" w:sz="0" w:space="0" w:color="auto"/>
        <w:bottom w:val="none" w:sz="0" w:space="0" w:color="auto"/>
        <w:right w:val="none" w:sz="0" w:space="0" w:color="auto"/>
      </w:divBdr>
      <w:divsChild>
        <w:div w:id="581137607">
          <w:marLeft w:val="0"/>
          <w:marRight w:val="0"/>
          <w:marTop w:val="0"/>
          <w:marBottom w:val="0"/>
          <w:divBdr>
            <w:top w:val="single" w:sz="6" w:space="8" w:color="EEEEEE"/>
            <w:left w:val="none" w:sz="0" w:space="0" w:color="auto"/>
            <w:bottom w:val="none" w:sz="0" w:space="0" w:color="auto"/>
            <w:right w:val="none" w:sz="0" w:space="0" w:color="auto"/>
          </w:divBdr>
          <w:divsChild>
            <w:div w:id="160855359">
              <w:marLeft w:val="0"/>
              <w:marRight w:val="0"/>
              <w:marTop w:val="0"/>
              <w:marBottom w:val="0"/>
              <w:divBdr>
                <w:top w:val="none" w:sz="0" w:space="0" w:color="auto"/>
                <w:left w:val="single" w:sz="2" w:space="0" w:color="FFFFFF"/>
                <w:bottom w:val="none" w:sz="0" w:space="0" w:color="auto"/>
                <w:right w:val="single" w:sz="2" w:space="0" w:color="FFFFFF"/>
              </w:divBdr>
              <w:divsChild>
                <w:div w:id="240138409">
                  <w:marLeft w:val="0"/>
                  <w:marRight w:val="0"/>
                  <w:marTop w:val="0"/>
                  <w:marBottom w:val="0"/>
                  <w:divBdr>
                    <w:top w:val="none" w:sz="0" w:space="0" w:color="auto"/>
                    <w:left w:val="none" w:sz="0" w:space="0" w:color="auto"/>
                    <w:bottom w:val="none" w:sz="0" w:space="0" w:color="auto"/>
                    <w:right w:val="none" w:sz="0" w:space="0" w:color="auto"/>
                  </w:divBdr>
                  <w:divsChild>
                    <w:div w:id="424306629">
                      <w:marLeft w:val="0"/>
                      <w:marRight w:val="0"/>
                      <w:marTop w:val="0"/>
                      <w:marBottom w:val="0"/>
                      <w:divBdr>
                        <w:top w:val="none" w:sz="0" w:space="0" w:color="auto"/>
                        <w:left w:val="none" w:sz="0" w:space="0" w:color="auto"/>
                        <w:bottom w:val="none" w:sz="0" w:space="0" w:color="auto"/>
                        <w:right w:val="none" w:sz="0" w:space="0" w:color="auto"/>
                      </w:divBdr>
                      <w:divsChild>
                        <w:div w:id="384986651">
                          <w:marLeft w:val="0"/>
                          <w:marRight w:val="0"/>
                          <w:marTop w:val="0"/>
                          <w:marBottom w:val="0"/>
                          <w:divBdr>
                            <w:top w:val="none" w:sz="0" w:space="0" w:color="auto"/>
                            <w:left w:val="none" w:sz="0" w:space="0" w:color="auto"/>
                            <w:bottom w:val="none" w:sz="0" w:space="0" w:color="auto"/>
                            <w:right w:val="none" w:sz="0" w:space="0" w:color="auto"/>
                          </w:divBdr>
                          <w:divsChild>
                            <w:div w:id="769280222">
                              <w:marLeft w:val="0"/>
                              <w:marRight w:val="0"/>
                              <w:marTop w:val="0"/>
                              <w:marBottom w:val="0"/>
                              <w:divBdr>
                                <w:top w:val="none" w:sz="0" w:space="0" w:color="auto"/>
                                <w:left w:val="none" w:sz="0" w:space="0" w:color="auto"/>
                                <w:bottom w:val="none" w:sz="0" w:space="0" w:color="auto"/>
                                <w:right w:val="none" w:sz="0" w:space="0" w:color="auto"/>
                              </w:divBdr>
                              <w:divsChild>
                                <w:div w:id="7579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4686">
      <w:bodyDiv w:val="1"/>
      <w:marLeft w:val="0"/>
      <w:marRight w:val="0"/>
      <w:marTop w:val="0"/>
      <w:marBottom w:val="0"/>
      <w:divBdr>
        <w:top w:val="none" w:sz="0" w:space="0" w:color="auto"/>
        <w:left w:val="none" w:sz="0" w:space="0" w:color="auto"/>
        <w:bottom w:val="none" w:sz="0" w:space="0" w:color="auto"/>
        <w:right w:val="none" w:sz="0" w:space="0" w:color="auto"/>
      </w:divBdr>
      <w:divsChild>
        <w:div w:id="1655379218">
          <w:marLeft w:val="0"/>
          <w:marRight w:val="0"/>
          <w:marTop w:val="0"/>
          <w:marBottom w:val="0"/>
          <w:divBdr>
            <w:top w:val="single" w:sz="6" w:space="8" w:color="EEEEEE"/>
            <w:left w:val="none" w:sz="0" w:space="0" w:color="auto"/>
            <w:bottom w:val="none" w:sz="0" w:space="0" w:color="auto"/>
            <w:right w:val="none" w:sz="0" w:space="0" w:color="auto"/>
          </w:divBdr>
          <w:divsChild>
            <w:div w:id="1458374839">
              <w:marLeft w:val="0"/>
              <w:marRight w:val="0"/>
              <w:marTop w:val="0"/>
              <w:marBottom w:val="0"/>
              <w:divBdr>
                <w:top w:val="none" w:sz="0" w:space="0" w:color="auto"/>
                <w:left w:val="single" w:sz="2" w:space="0" w:color="FFFFFF"/>
                <w:bottom w:val="none" w:sz="0" w:space="0" w:color="auto"/>
                <w:right w:val="single" w:sz="2" w:space="0" w:color="FFFFFF"/>
              </w:divBdr>
              <w:divsChild>
                <w:div w:id="238178691">
                  <w:marLeft w:val="0"/>
                  <w:marRight w:val="0"/>
                  <w:marTop w:val="0"/>
                  <w:marBottom w:val="0"/>
                  <w:divBdr>
                    <w:top w:val="none" w:sz="0" w:space="0" w:color="auto"/>
                    <w:left w:val="none" w:sz="0" w:space="0" w:color="auto"/>
                    <w:bottom w:val="none" w:sz="0" w:space="0" w:color="auto"/>
                    <w:right w:val="none" w:sz="0" w:space="0" w:color="auto"/>
                  </w:divBdr>
                  <w:divsChild>
                    <w:div w:id="1070805289">
                      <w:marLeft w:val="0"/>
                      <w:marRight w:val="0"/>
                      <w:marTop w:val="0"/>
                      <w:marBottom w:val="0"/>
                      <w:divBdr>
                        <w:top w:val="none" w:sz="0" w:space="0" w:color="auto"/>
                        <w:left w:val="none" w:sz="0" w:space="0" w:color="auto"/>
                        <w:bottom w:val="none" w:sz="0" w:space="0" w:color="auto"/>
                        <w:right w:val="none" w:sz="0" w:space="0" w:color="auto"/>
                      </w:divBdr>
                      <w:divsChild>
                        <w:div w:id="688533692">
                          <w:marLeft w:val="0"/>
                          <w:marRight w:val="0"/>
                          <w:marTop w:val="0"/>
                          <w:marBottom w:val="0"/>
                          <w:divBdr>
                            <w:top w:val="none" w:sz="0" w:space="0" w:color="auto"/>
                            <w:left w:val="none" w:sz="0" w:space="0" w:color="auto"/>
                            <w:bottom w:val="none" w:sz="0" w:space="0" w:color="auto"/>
                            <w:right w:val="none" w:sz="0" w:space="0" w:color="auto"/>
                          </w:divBdr>
                          <w:divsChild>
                            <w:div w:id="2134978221">
                              <w:marLeft w:val="0"/>
                              <w:marRight w:val="0"/>
                              <w:marTop w:val="0"/>
                              <w:marBottom w:val="0"/>
                              <w:divBdr>
                                <w:top w:val="none" w:sz="0" w:space="0" w:color="auto"/>
                                <w:left w:val="none" w:sz="0" w:space="0" w:color="auto"/>
                                <w:bottom w:val="none" w:sz="0" w:space="0" w:color="auto"/>
                                <w:right w:val="none" w:sz="0" w:space="0" w:color="auto"/>
                              </w:divBdr>
                              <w:divsChild>
                                <w:div w:id="14585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A10F-73D7-4673-BFC1-D5D94897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bonnieh</dc:creator>
  <cp:lastModifiedBy>Laurie Barnas</cp:lastModifiedBy>
  <cp:revision>2</cp:revision>
  <dcterms:created xsi:type="dcterms:W3CDTF">2017-03-03T00:26:00Z</dcterms:created>
  <dcterms:modified xsi:type="dcterms:W3CDTF">2017-03-03T00:26:00Z</dcterms:modified>
</cp:coreProperties>
</file>